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rPr>
          <w:rFonts w:ascii="Liberation Serif" w:hAnsi="Liberation Serif"/>
          <w:sz w:val="24"/>
          <w:szCs w:val="24"/>
          <w:lang w:val="en-US"/>
        </w:rPr>
      </w:pPr>
      <w:r>
        <w:rPr>
          <w:rFonts w:ascii="Liberation Serif" w:hAnsi="Liberation Serif"/>
          <w:sz w:val="24"/>
          <w:szCs w:val="24"/>
          <w:lang w:val="en-US"/>
        </w:rPr>
      </w:r>
    </w:p>
    <w:p>
      <w:pPr>
        <w:pStyle w:val="Normal"/>
        <w:keepNext w:val="true"/>
        <w:keepLines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keepNext w:val="true"/>
        <w:keepLines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keepNext w:val="true"/>
        <w:keepLines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keepNext w:val="true"/>
        <w:keepLines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Liberation Serif" w:hAnsi="Liberation Serif"/>
        </w:rPr>
      </w:pPr>
      <w:r>
        <w:rPr>
          <w:rFonts w:eastAsia="Calibri" w:ascii="Liberation Serif" w:hAnsi="Liberation Serif"/>
          <w:b/>
          <w:sz w:val="24"/>
          <w:szCs w:val="24"/>
        </w:rPr>
        <w:t xml:space="preserve">Технические требования на поставку </w:t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eastAsia="Calibri" w:ascii="Liberation Serif" w:hAnsi="Liberation Serif"/>
          <w:b/>
          <w:sz w:val="24"/>
          <w:szCs w:val="24"/>
        </w:rPr>
        <w:t>Комплектных трансформаторных подстанций</w:t>
      </w:r>
    </w:p>
    <w:p>
      <w:pPr>
        <w:pStyle w:val="Normal"/>
        <w:jc w:val="center"/>
        <w:rPr/>
      </w:pPr>
      <w:r>
        <w:rPr>
          <w:rStyle w:val="23"/>
          <w:rFonts w:eastAsia="Calibri" w:ascii="Liberation Serif" w:hAnsi="Liberation Serif"/>
          <w:sz w:val="24"/>
          <w:szCs w:val="24"/>
        </w:rPr>
        <w:t>(требования к продукции)</w:t>
      </w:r>
    </w:p>
    <w:p>
      <w:pPr>
        <w:pStyle w:val="Normal"/>
        <w:keepNext w:val="true"/>
        <w:keepLines/>
        <w:jc w:val="center"/>
        <w:rPr>
          <w:rFonts w:ascii="Liberation Serif" w:hAnsi="Liberation Serif" w:eastAsia="Calibri"/>
          <w:b/>
          <w:sz w:val="24"/>
          <w:szCs w:val="24"/>
        </w:rPr>
      </w:pPr>
      <w:r>
        <w:rPr>
          <w:rFonts w:eastAsia="Calibri" w:ascii="Liberation Serif" w:hAnsi="Liberation Serif"/>
          <w:b/>
          <w:sz w:val="24"/>
          <w:szCs w:val="24"/>
        </w:rPr>
      </w:r>
    </w:p>
    <w:p>
      <w:pPr>
        <w:pStyle w:val="Normal"/>
        <w:keepNext w:val="true"/>
        <w:keepLines/>
        <w:ind w:firstLine="708"/>
        <w:jc w:val="center"/>
        <w:rPr>
          <w:rFonts w:ascii="Liberation Serif" w:hAnsi="Liberation Serif"/>
        </w:rPr>
      </w:pPr>
      <w:r>
        <w:rPr>
          <w:rFonts w:eastAsia="Calibri" w:ascii="Liberation Serif" w:hAnsi="Liberation Serif"/>
          <w:b/>
          <w:sz w:val="24"/>
          <w:szCs w:val="24"/>
        </w:rPr>
        <w:t>ОКПД2 27.11.43.000. Поставка комплектных трансформаторных подстанций в рамках реализации инвестиционной программы для филиалов АО «ДРСК» «Амурские электрические сети», «Приморские электрические сети», «Хабаровские электрические сети», «Электрические сети ЕАО», «Южно-Якутские электрические сети»</w:t>
      </w:r>
    </w:p>
    <w:p>
      <w:pPr>
        <w:pStyle w:val="Normal"/>
        <w:ind w:firstLine="708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sectPr>
          <w:type w:val="nextPage"/>
          <w:pgSz w:orient="landscape" w:w="16838" w:h="11906"/>
          <w:pgMar w:left="1209" w:right="1054" w:gutter="0" w:header="0" w:top="1134" w:footer="0" w:bottom="567"/>
          <w:pgNumType w:fmt="decimal"/>
          <w:formProt w:val="false"/>
          <w:textDirection w:val="lrTb"/>
          <w:docGrid w:type="default" w:linePitch="381" w:charSpace="8192"/>
        </w:sectPr>
        <w:pStyle w:val="Normal"/>
        <w:ind w:firstLine="708"/>
        <w:jc w:val="center"/>
        <w:rPr>
          <w:rFonts w:ascii="Liberation Serif" w:hAnsi="Liberation Serif"/>
        </w:rPr>
      </w:pPr>
      <w:r>
        <w:rPr>
          <w:rFonts w:eastAsia="Calibri" w:ascii="Liberation Serif" w:hAnsi="Liberation Serif"/>
          <w:b/>
          <w:sz w:val="24"/>
          <w:szCs w:val="24"/>
        </w:rPr>
        <w:t>Лот № 1501-КС ПИР СМР-2027-ДРСК</w:t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sz w:val="24"/>
          <w:szCs w:val="24"/>
        </w:rPr>
        <w:t>СОДЕРЖАНИЕ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sz w:val="24"/>
          <w:szCs w:val="24"/>
        </w:rPr>
        <w:t>1. Общие сведения………………………………………………………………………………………………………………………………………….3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1.1. Обозначения и сокращения……………………………………………………………………………………………………………………….……3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1.2. Наименование закупаемой……………………………………………………………………………………………………………………….…….3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2. </w:t>
      </w:r>
      <w:bookmarkStart w:id="0" w:name="_Toc51339693_Копия_1"/>
      <w:bookmarkStart w:id="1" w:name="_Toc75446573_Копия_1"/>
      <w:r>
        <w:rPr>
          <w:rFonts w:ascii="Liberation Serif" w:hAnsi="Liberation Serif"/>
          <w:b/>
          <w:bCs/>
          <w:iCs/>
          <w:sz w:val="24"/>
          <w:szCs w:val="24"/>
        </w:rPr>
        <w:t>Требования к продукции</w:t>
      </w:r>
      <w:bookmarkEnd w:id="0"/>
      <w:bookmarkEnd w:id="1"/>
      <w:r>
        <w:rPr>
          <w:rFonts w:ascii="Liberation Serif" w:hAnsi="Liberation Serif"/>
          <w:b/>
          <w:bCs/>
          <w:sz w:val="24"/>
          <w:szCs w:val="24"/>
        </w:rPr>
        <w:t>……………………………………………………………………………………………………………………………….4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2.1. </w:t>
      </w:r>
      <w:bookmarkStart w:id="2" w:name="_Toc75446574_Копия_1"/>
      <w:r>
        <w:rPr>
          <w:rFonts w:ascii="Liberation Serif" w:hAnsi="Liberation Serif"/>
          <w:sz w:val="24"/>
          <w:szCs w:val="24"/>
        </w:rPr>
        <w:t>Требования к объемам и срокам поставки…</w:t>
      </w:r>
      <w:bookmarkEnd w:id="2"/>
      <w:r>
        <w:rPr>
          <w:rFonts w:ascii="Liberation Serif" w:hAnsi="Liberation Serif"/>
          <w:sz w:val="24"/>
          <w:szCs w:val="24"/>
        </w:rPr>
        <w:t>..………………………………………………………………………………………………….….….4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2.1.1. Требования к срокам поставки продукции …..……………………………………………………………………………………………….…….5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2.2. Требования к качеству продукции…………..…..……………………………………………………………………………………………….…….5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sz w:val="24"/>
          <w:szCs w:val="24"/>
        </w:rPr>
        <w:t>3. Требования к заявке……….…………….……...</w:t>
      </w:r>
      <w:r>
        <w:rPr>
          <w:rFonts w:ascii="Liberation Serif" w:hAnsi="Liberation Serif"/>
          <w:b/>
          <w:bCs/>
          <w:iCs/>
          <w:sz w:val="24"/>
          <w:szCs w:val="24"/>
        </w:rPr>
        <w:t>……………..…………………………………………………………………………</w:t>
      </w:r>
      <w:r>
        <w:rPr>
          <w:rFonts w:ascii="Liberation Serif" w:hAnsi="Liberation Serif"/>
          <w:b/>
          <w:bCs/>
          <w:sz w:val="24"/>
          <w:szCs w:val="24"/>
        </w:rPr>
        <w:t>...………….26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4. </w:t>
      </w:r>
      <w:r>
        <w:rPr>
          <w:rFonts w:ascii="Liberation Serif" w:hAnsi="Liberation Serif"/>
          <w:b/>
          <w:bCs/>
          <w:iCs/>
          <w:sz w:val="24"/>
          <w:szCs w:val="24"/>
        </w:rPr>
        <w:t>Требование к</w:t>
      </w:r>
      <w:r>
        <w:rPr>
          <w:rFonts w:ascii="Liberation Serif" w:hAnsi="Liberation Serif"/>
          <w:b/>
          <w:bCs/>
          <w:sz w:val="24"/>
          <w:szCs w:val="24"/>
        </w:rPr>
        <w:t xml:space="preserve"> документации по ценообразованию на этапе закупки…..</w:t>
      </w:r>
      <w:r>
        <w:rPr>
          <w:rFonts w:ascii="Liberation Serif" w:hAnsi="Liberation Serif"/>
          <w:b/>
          <w:bCs/>
          <w:sz w:val="26"/>
          <w:szCs w:val="26"/>
        </w:rPr>
        <w:t>.…</w:t>
      </w:r>
      <w:r>
        <w:rPr>
          <w:rFonts w:ascii="Liberation Serif" w:hAnsi="Liberation Serif"/>
          <w:b/>
          <w:bCs/>
          <w:sz w:val="24"/>
          <w:szCs w:val="24"/>
        </w:rPr>
        <w:t>……………………………………………………...………….…28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sz w:val="24"/>
          <w:szCs w:val="24"/>
        </w:rPr>
        <w:t>5. В составе заявки необходимо предоставить:…..</w:t>
      </w:r>
      <w:r>
        <w:rPr>
          <w:rFonts w:ascii="Liberation Serif" w:hAnsi="Liberation Serif"/>
          <w:b/>
          <w:bCs/>
          <w:iCs/>
          <w:sz w:val="24"/>
          <w:szCs w:val="24"/>
        </w:rPr>
        <w:t>………………………………………………………………………………………</w:t>
      </w:r>
      <w:r>
        <w:rPr>
          <w:rFonts w:ascii="Liberation Serif" w:hAnsi="Liberation Serif"/>
          <w:b/>
          <w:bCs/>
          <w:sz w:val="24"/>
          <w:szCs w:val="24"/>
        </w:rPr>
        <w:t>...………….28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sz w:val="24"/>
          <w:szCs w:val="24"/>
        </w:rPr>
        <w:t>6. Приложения………………………………………</w:t>
      </w:r>
      <w:r>
        <w:rPr>
          <w:rFonts w:ascii="Liberation Serif" w:hAnsi="Liberation Serif"/>
          <w:b/>
          <w:bCs/>
          <w:iCs/>
          <w:sz w:val="24"/>
          <w:szCs w:val="24"/>
        </w:rPr>
        <w:t>..………………………………………………………………………………………</w:t>
      </w:r>
      <w:r>
        <w:rPr>
          <w:rFonts w:ascii="Liberation Serif" w:hAnsi="Liberation Serif"/>
          <w:b/>
          <w:bCs/>
          <w:sz w:val="24"/>
          <w:szCs w:val="24"/>
        </w:rPr>
        <w:t>...………….28</w:t>
      </w:r>
    </w:p>
    <w:p>
      <w:pPr>
        <w:pStyle w:val="Normal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rFonts w:ascii="Liberation Serif" w:hAnsi="Liberation Serif"/>
        </w:rPr>
      </w:pPr>
      <w:bookmarkStart w:id="3" w:name="_Toc75446566"/>
      <w:bookmarkStart w:id="4" w:name="_Toc51339692"/>
      <w:r>
        <w:rPr>
          <w:rFonts w:ascii="Liberation Serif" w:hAnsi="Liberation Serif"/>
          <w:sz w:val="24"/>
          <w:szCs w:val="24"/>
          <w:lang w:val="ru-RU"/>
        </w:rPr>
        <w:t>Общие сведения</w:t>
      </w:r>
      <w:bookmarkEnd w:id="3"/>
      <w:bookmarkEnd w:id="4"/>
    </w:p>
    <w:p>
      <w:pPr>
        <w:pStyle w:val="Normal"/>
        <w:ind w:left="357" w:hanging="357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Heading4"/>
        <w:numPr>
          <w:ilvl w:val="1"/>
          <w:numId w:val="3"/>
        </w:numPr>
        <w:rPr>
          <w:rFonts w:ascii="Liberation Serif" w:hAnsi="Liberation Serif"/>
        </w:rPr>
      </w:pPr>
      <w:r>
        <w:rPr>
          <w:rFonts w:ascii="Liberation Serif" w:hAnsi="Liberation Serif"/>
        </w:rPr>
        <w:t>Обозначения и сокращения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W w:w="14850" w:type="dxa"/>
        <w:jc w:val="left"/>
        <w:tblInd w:w="7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147"/>
        <w:gridCol w:w="12702"/>
      </w:tblGrid>
      <w:tr>
        <w:trPr>
          <w:trHeight w:val="315" w:hRule="atLeast"/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bCs/>
                <w:iCs/>
                <w:color w:val="111111"/>
                <w:sz w:val="22"/>
                <w:szCs w:val="22"/>
              </w:rPr>
              <w:t>КТПН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комплектная трансформаторная подстанция наружной установки;</w:t>
            </w:r>
          </w:p>
        </w:tc>
      </w:tr>
      <w:tr>
        <w:trPr>
          <w:trHeight w:val="375" w:hRule="atLeast"/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КМТП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комплектная мачтовая трансформаторная подстанция;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СТП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столбовая трансформаторная подстанция;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ВН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высокое напряжение;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ГОСТ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государственный стандарт;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КРУ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комплектное распределительное устройство;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ВН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высокое напряжение;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НН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низкое напряжение;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НТД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нормативно-техническая документация;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ПБВ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переключение без возбуждения;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РУВН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распределительное устройство высокого напряжения;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РУНН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распределительное устройство низкого напряжения;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СИ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средства измерений: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ТУ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технические условия;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ТМГ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трехфазный трансформатор маслонаполненный герметичного исполнения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УХЛ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климатическое исполнение «умеренный и холодный климат»;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ПТЭ и ЭСиС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Правила технической эксплуатации электрических станций и сетей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ПУЭ</w:t>
            </w:r>
          </w:p>
        </w:tc>
        <w:tc>
          <w:tcPr>
            <w:tcW w:w="1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Правила устройства электроустановок</w:t>
            </w:r>
          </w:p>
        </w:tc>
      </w:tr>
    </w:tbl>
    <w:p>
      <w:pPr>
        <w:pStyle w:val="Normal"/>
        <w:rPr>
          <w:rFonts w:ascii="Liberation Serif" w:hAnsi="Liberation Serif"/>
          <w:sz w:val="24"/>
          <w:szCs w:val="24"/>
          <w:lang w:val="x-none" w:eastAsia="x-none"/>
        </w:rPr>
      </w:pPr>
      <w:r>
        <w:rPr>
          <w:rFonts w:ascii="Liberation Serif" w:hAnsi="Liberation Serif"/>
          <w:sz w:val="24"/>
          <w:szCs w:val="24"/>
          <w:lang w:val="x-none" w:eastAsia="x-none"/>
        </w:rPr>
      </w:r>
    </w:p>
    <w:p>
      <w:pPr>
        <w:pStyle w:val="Heading4"/>
        <w:numPr>
          <w:ilvl w:val="1"/>
          <w:numId w:val="3"/>
        </w:numPr>
        <w:tabs>
          <w:tab w:val="clear" w:pos="849"/>
          <w:tab w:val="clear" w:pos="1300"/>
          <w:tab w:val="left" w:pos="0" w:leader="none"/>
          <w:tab w:val="left" w:pos="563" w:leader="none"/>
          <w:tab w:val="left" w:pos="1303" w:leader="none"/>
        </w:tabs>
        <w:ind w:left="0" w:hanging="0"/>
        <w:rPr>
          <w:rFonts w:ascii="Liberation Serif" w:hAnsi="Liberation Serif"/>
        </w:rPr>
      </w:pPr>
      <w:bookmarkStart w:id="5" w:name="_Toc46743506"/>
      <w:bookmarkStart w:id="6" w:name="_Toc75446568"/>
      <w:r>
        <w:rPr>
          <w:rFonts w:ascii="Liberation Serif" w:hAnsi="Liberation Serif"/>
        </w:rPr>
        <w:t>Наименование закупаемой продукции</w:t>
      </w:r>
      <w:bookmarkEnd w:id="5"/>
      <w:bookmarkEnd w:id="6"/>
    </w:p>
    <w:p>
      <w:pPr>
        <w:pStyle w:val="Normal"/>
        <w:widowControl w:val="false"/>
        <w:tabs>
          <w:tab w:val="clear" w:pos="708"/>
          <w:tab w:val="left" w:pos="426" w:leader="none"/>
        </w:tabs>
        <w:ind w:right="57" w:hanging="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/>
          <w:i/>
          <w:sz w:val="24"/>
          <w:szCs w:val="24"/>
          <w:lang w:eastAsia="x-none"/>
        </w:rPr>
        <w:t>«</w:t>
      </w:r>
      <w:r>
        <w:rPr>
          <w:rFonts w:ascii="Liberation Serif" w:hAnsi="Liberation Serif"/>
          <w:b/>
          <w:i/>
          <w:sz w:val="24"/>
          <w:szCs w:val="24"/>
        </w:rPr>
        <w:t>Комплектные трансформаторные подстанции</w:t>
      </w:r>
      <w:r>
        <w:rPr>
          <w:rFonts w:eastAsia="Calibri" w:ascii="Liberation Serif" w:hAnsi="Liberation Serif"/>
          <w:i/>
          <w:sz w:val="24"/>
          <w:szCs w:val="24"/>
          <w:lang w:eastAsia="x-none"/>
        </w:rPr>
        <w:t>»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ascii="Liberation Serif" w:hAnsi="Liberation Serif"/>
          <w:bCs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rPr>
          <w:rFonts w:ascii="Liberation Serif" w:hAnsi="Liberation Serif"/>
        </w:rPr>
      </w:pPr>
      <w:bookmarkStart w:id="7" w:name="_Toc75446573"/>
      <w:bookmarkStart w:id="8" w:name="_Toc51339693"/>
      <w:bookmarkStart w:id="9" w:name="_Toc46743510"/>
      <w:bookmarkStart w:id="10" w:name="_Toc50125126"/>
      <w:bookmarkEnd w:id="9"/>
      <w:bookmarkEnd w:id="10"/>
      <w:r>
        <w:rPr>
          <w:rFonts w:ascii="Liberation Serif" w:hAnsi="Liberation Serif"/>
          <w:iCs/>
          <w:sz w:val="24"/>
          <w:szCs w:val="24"/>
        </w:rPr>
        <w:t>Требования к продукции</w:t>
      </w:r>
      <w:bookmarkEnd w:id="7"/>
      <w:bookmarkEnd w:id="8"/>
    </w:p>
    <w:p>
      <w:pPr>
        <w:pStyle w:val="Normal"/>
        <w:ind w:left="357" w:hanging="357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Heading4"/>
        <w:numPr>
          <w:ilvl w:val="1"/>
          <w:numId w:val="3"/>
        </w:numPr>
        <w:rPr>
          <w:rFonts w:ascii="Liberation Serif" w:hAnsi="Liberation Serif"/>
        </w:rPr>
      </w:pPr>
      <w:bookmarkStart w:id="11" w:name="_Toc75446574"/>
      <w:r>
        <w:rPr>
          <w:rFonts w:ascii="Liberation Serif" w:hAnsi="Liberation Serif"/>
        </w:rPr>
        <w:t xml:space="preserve">Требования к объемам и срокам </w:t>
      </w:r>
      <w:r>
        <w:rPr>
          <w:rFonts w:ascii="Liberation Serif" w:hAnsi="Liberation Serif"/>
          <w:lang w:val="ru-RU"/>
        </w:rPr>
        <w:t>поставки</w:t>
      </w:r>
      <w:bookmarkEnd w:id="11"/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Heading4"/>
        <w:keepLines/>
        <w:tabs>
          <w:tab w:val="clear" w:pos="0"/>
          <w:tab w:val="left" w:pos="849" w:leader="none"/>
          <w:tab w:val="left" w:pos="1300" w:leader="none"/>
        </w:tabs>
        <w:ind w:left="0" w:hanging="0"/>
        <w:rPr>
          <w:rFonts w:ascii="Liberation Serif" w:hAnsi="Liberation Serif"/>
        </w:rPr>
      </w:pPr>
      <w:bookmarkStart w:id="12" w:name="_Toc75446576"/>
      <w:bookmarkStart w:id="13" w:name="_Toc51339695"/>
      <w:r>
        <w:rPr>
          <w:rFonts w:ascii="Liberation Serif" w:hAnsi="Liberation Serif"/>
        </w:rPr>
        <w:t xml:space="preserve">Таблица </w:t>
      </w:r>
      <w:r>
        <w:rPr>
          <w:rFonts w:ascii="Liberation Serif" w:hAnsi="Liberation Serif"/>
          <w:lang w:val="ru-RU"/>
        </w:rPr>
        <w:t>1.1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lang w:val="ru-RU"/>
        </w:rPr>
        <w:t xml:space="preserve">Перечень </w:t>
      </w:r>
      <w:bookmarkEnd w:id="13"/>
      <w:r>
        <w:rPr>
          <w:rFonts w:ascii="Liberation Serif" w:hAnsi="Liberation Serif"/>
          <w:lang w:val="ru-RU"/>
        </w:rPr>
        <w:t>и объем закупаемой продукции</w:t>
      </w:r>
      <w:bookmarkEnd w:id="12"/>
    </w:p>
    <w:tbl>
      <w:tblPr>
        <w:tblW w:w="14737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4"/>
        <w:gridCol w:w="11007"/>
        <w:gridCol w:w="1521"/>
        <w:gridCol w:w="1644"/>
      </w:tblGrid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4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Требование Заказчика</w:t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</w:r>
          </w:p>
        </w:tc>
        <w:tc>
          <w:tcPr>
            <w:tcW w:w="1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Кол-во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147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Филиал «Амурские электрические сети»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i w:val="false"/>
                <w:iCs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1.</w:t>
            </w:r>
          </w:p>
        </w:tc>
        <w:tc>
          <w:tcPr>
            <w:tcW w:w="1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Двухтрансформаторная комплектная трансформаторная подстанция  2КТПН-160/10/0,4 кВ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i w:val="false"/>
                <w:iCs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2.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Двухтрансформаторная комплектная трансформаторная подстанция 2КТПН-250/10/0,4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i w:val="false"/>
                <w:iCs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3.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Двухтрансформаторная комплектная трансформаторная подстанция 2КТПН-400/10/0,4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i w:val="false"/>
                <w:iCs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4.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Двухтрансформаторная комплектная трансформаторная подстанция 2КТПН-630/10/0,4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i w:val="false"/>
                <w:iCs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5.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мачтовая трансформаторная подстанция КМТП-100/10/0,4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i w:val="false"/>
                <w:iCs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6.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мачтовая трансформаторная подстанция КМТП-40/10/0,4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i w:val="false"/>
                <w:iCs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7.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трансформаторная подстанция КТПН-250/10/0,4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22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i w:val="false"/>
                <w:iCs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8.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трансформаторная подстанция КТПН-630/10/0,4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i w:val="false"/>
                <w:iCs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9.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мачтовая трансформаторная подстанция КМТП 160/10/0,4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i w:val="false"/>
                <w:iCs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10.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мачтовая трансформаторная подстанция КМТП 25/10/0,4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i w:val="false"/>
                <w:iCs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11.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трансформаторная подстанция КТПН 400/10/0,4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rFonts w:ascii="Liberation Serif" w:hAnsi="Liberation Serif" w:cs="Liberation Serif"/>
                <w:b/>
                <w:bCs/>
                <w:color w:val="auto"/>
                <w:kern w:val="0"/>
                <w:sz w:val="20"/>
                <w:szCs w:val="20"/>
                <w:shd w:fill="auto" w:val="clear"/>
                <w:lang w:val="ru-RU" w:eastAsia="ru-RU" w:bidi="ar-SA"/>
              </w:rPr>
            </w:pPr>
            <w:r>
              <w:rPr>
                <w:rFonts w:cs="Liberation Serif" w:ascii="Liberation Serif" w:hAnsi="Liberation Serif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12.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мачтовая трансформаторная подстанция КМТП-63/10/0,4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auto"/>
                <w:kern w:val="0"/>
                <w:sz w:val="20"/>
                <w:szCs w:val="20"/>
                <w:shd w:fill="auto" w:val="clear"/>
                <w:lang w:val="ru-RU" w:eastAsia="ru-RU" w:bidi="ar-SA"/>
              </w:rPr>
            </w:pPr>
            <w:r>
              <w:rPr>
                <w:rFonts w:cs="Liberation Serif" w:ascii="Liberation Serif" w:hAnsi="Liberation Serif"/>
                <w:color w:val="00000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</w:tr>
      <w:tr>
        <w:trPr/>
        <w:tc>
          <w:tcPr>
            <w:tcW w:w="1473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Филиал «Приморские электрические сети»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Двухтрансформаторная комплектная трансформаторная подстанция 2КТПН 630/6/0,4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мачтовая трансформаторная подстанция КМТП-100/10/0,4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мачтовая трансформаторная подстанция КМТП-100/6/0,4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мачтовая трансформаторная подстанция КМТП-160/6/0,4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Подстанция комплектная трансформаторная КТПН-250/10/0,4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Times New Roman" w:cs="Liberation Serif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Liberation Serif" w:ascii="Liberation Serif" w:hAnsi="Liberation Serif"/>
                <w:color w:val="auto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мачтовая трансформаторная подстанция МКТП-250/6/0,4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Times New Roman" w:cs="Liberation Serif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Liberation Serif" w:ascii="Liberation Serif" w:hAnsi="Liberation Serif"/>
                <w:color w:val="auto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мачтовая трансформаторная подстанция КМТП 160/10/0,4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Times New Roman" w:cs="Liberation Serif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Liberation Serif" w:ascii="Liberation Serif" w:hAnsi="Liberation Serif"/>
                <w:color w:val="auto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Подстанция комплектная трансформаторная КТПНТ-В/В-160/6/0,4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Times New Roman" w:cs="Liberation Serif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Liberation Serif" w:ascii="Liberation Serif" w:hAnsi="Liberation Serif"/>
                <w:color w:val="auto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Столбовая трансформаторная подстанция СТП-ВВ 63/10/0,4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Times New Roman" w:cs="Liberation Serif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Liberation Serif" w:ascii="Liberation Serif" w:hAnsi="Liberation Serif"/>
                <w:color w:val="auto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Столбовая трансформаторная подстанция СТП-63/6/0,4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Times New Roman" w:cs="Liberation Serif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Liberation Serif" w:ascii="Liberation Serif" w:hAnsi="Liberation Serif"/>
                <w:color w:val="auto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Столбовая трансформаторная подстанция СТП-ВВ-100/6/0,4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Times New Roman" w:cs="Liberation Serif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Liberation Serif" w:ascii="Liberation Serif" w:hAnsi="Liberation Serif"/>
                <w:color w:val="auto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1473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Филиал «Хабаровские электрические сети»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мачтовая трансформаторная подстанция КМТП 25/6/0,4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Подстанция комплектная трансформаторная КТПН-160/10/0,4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26.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Подстанция комплектная трансформаторная КТПН-250/10/0,4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27.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Столбовая трансформаторная подстанция СТП-160/6/0,4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28.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Столбовая трансформаторная подстанция СТП-100/10/0,4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40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1473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Филиал «Электрические сети ЕАО»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29.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мачтовая трансформаторная подстанция КМТП-100/10/0,4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30.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мачтовая трансформаторная подстанция КМТП-160/6/0,4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1473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Филиал «Южно-Якутские электрические сети»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31.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Комплектная мачтовая трансформаторная подстанция</w:t>
            </w:r>
            <w:r>
              <w:rPr>
                <w:rFonts w:ascii="Liberation Serif" w:hAnsi="Liberation Serif"/>
              </w:rPr>
              <w:t xml:space="preserve"> КМТП-160/6/</w:t>
            </w:r>
            <w:r>
              <w:rPr>
                <w:rFonts w:ascii="Liberation Serif" w:hAnsi="Liberation Serif"/>
                <w:sz w:val="20"/>
                <w:szCs w:val="20"/>
              </w:rPr>
              <w:t>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32.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Подстанция комплектная трансформаторная КТПН 400/6/</w:t>
            </w:r>
            <w:r>
              <w:rPr>
                <w:rFonts w:ascii="Liberation Serif" w:hAnsi="Liberation Serif"/>
                <w:sz w:val="20"/>
                <w:szCs w:val="20"/>
              </w:rPr>
              <w:t>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bCs/>
                <w:sz w:val="20"/>
                <w:szCs w:val="20"/>
              </w:rPr>
              <w:t>33.</w:t>
            </w:r>
          </w:p>
        </w:tc>
        <w:tc>
          <w:tcPr>
            <w:tcW w:w="1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40"/>
              <w:widowControl w:val="false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Подстанция комплектная трансформаторная КТПН 630/6/</w:t>
            </w:r>
            <w:r>
              <w:rPr>
                <w:rFonts w:ascii="Liberation Serif" w:hAnsi="Liberation Serif"/>
                <w:sz w:val="20"/>
                <w:szCs w:val="20"/>
              </w:rPr>
              <w:t>0,4 кВ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>
      <w:pPr>
        <w:pStyle w:val="Normal"/>
        <w:ind w:left="567" w:hanging="0"/>
        <w:rPr>
          <w:rFonts w:ascii="Liberation Serif" w:hAnsi="Liberation Serif"/>
        </w:rPr>
      </w:pPr>
      <w:r>
        <w:rPr>
          <w:rFonts w:ascii="Liberation Serif" w:hAnsi="Liberation Serif"/>
          <w:i/>
          <w:iCs/>
          <w:color w:val="000000"/>
        </w:rPr>
        <w:t xml:space="preserve">Указанные в настоящем ТТ и приложениях ссылки на ТУ, марку (тип) продукции носят описательный, а не обязательный характер. </w:t>
      </w:r>
      <w:r>
        <w:rPr>
          <w:rFonts w:ascii="Liberation Serif" w:hAnsi="Liberation Serif"/>
          <w:b/>
          <w:bCs/>
          <w:i/>
          <w:iCs/>
          <w:color w:val="000000"/>
        </w:rPr>
        <w:t>В случае, если Участником предлагается эквивалентная продукция</w:t>
      </w:r>
      <w:r>
        <w:rPr>
          <w:rFonts w:ascii="Liberation Serif" w:hAnsi="Liberation Serif"/>
          <w:i/>
          <w:iCs/>
          <w:color w:val="000000"/>
        </w:rPr>
        <w:t xml:space="preserve">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в объеме не менее установленных в настоящем ТТ требований. 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эксплуатации.»</w:t>
      </w:r>
    </w:p>
    <w:p>
      <w:pPr>
        <w:pStyle w:val="Normal"/>
        <w:ind w:left="426" w:hanging="0"/>
        <w:rPr/>
      </w:pPr>
      <w:r>
        <w:rPr>
          <w:rStyle w:val="Style"/>
          <w:rFonts w:ascii="Liberation Serif" w:hAnsi="Liberation Serif"/>
          <w:color w:val="767171"/>
        </w:rPr>
        <w:t>**</w:t>
      </w:r>
      <w:r>
        <w:rPr>
          <w:rFonts w:ascii="Liberation Serif" w:hAnsi="Liberation Serif"/>
          <w:color w:val="767171"/>
        </w:rPr>
        <w:t xml:space="preserve"> </w:t>
      </w:r>
      <w:r>
        <w:rPr>
          <w:rFonts w:ascii="Liberation Serif" w:hAnsi="Liberation Serif"/>
          <w:iCs/>
          <w:color w:val="767171"/>
        </w:rPr>
        <w:t>Способ подтверждения участником соответствия требованиям указан в таблице в отношении каждой позиции закупаемой продукции.</w:t>
      </w:r>
    </w:p>
    <w:p>
      <w:pPr>
        <w:pStyle w:val="Heading3"/>
        <w:tabs>
          <w:tab w:val="clear" w:pos="0"/>
          <w:tab w:val="left" w:pos="849" w:leader="none"/>
          <w:tab w:val="left" w:pos="1300" w:leader="none"/>
        </w:tabs>
        <w:ind w:left="0" w:hanging="0"/>
        <w:rPr>
          <w:rFonts w:ascii="Liberation Serif" w:hAnsi="Liberation Serif"/>
        </w:rPr>
      </w:pPr>
      <w:r>
        <w:rPr>
          <w:rFonts w:ascii="Liberation Serif" w:hAnsi="Liberation Serif"/>
          <w:lang w:val="ru-RU"/>
        </w:rPr>
        <w:t xml:space="preserve">2.1.1 </w:t>
      </w:r>
      <w:bookmarkStart w:id="14" w:name="_Toc75446578"/>
      <w:bookmarkStart w:id="15" w:name="_Toc51339696"/>
      <w:r>
        <w:rPr>
          <w:rFonts w:ascii="Liberation Serif" w:hAnsi="Liberation Serif"/>
          <w:lang w:val="ru-RU"/>
        </w:rPr>
        <w:t xml:space="preserve">Требования </w:t>
      </w:r>
      <w:bookmarkEnd w:id="15"/>
      <w:r>
        <w:rPr>
          <w:rFonts w:ascii="Liberation Serif" w:hAnsi="Liberation Serif"/>
          <w:lang w:val="ru-RU"/>
        </w:rPr>
        <w:t xml:space="preserve">к срокам поставки продукции </w:t>
      </w:r>
      <w:bookmarkEnd w:id="14"/>
    </w:p>
    <w:p>
      <w:pPr>
        <w:pStyle w:val="Heading1"/>
        <w:keepLines/>
        <w:tabs>
          <w:tab w:val="clear" w:pos="0"/>
          <w:tab w:val="left" w:pos="849" w:leader="none"/>
          <w:tab w:val="left" w:pos="1300" w:leader="none"/>
        </w:tabs>
        <w:ind w:left="0" w:hanging="0"/>
        <w:rPr>
          <w:rFonts w:ascii="Liberation Serif" w:hAnsi="Liberation Serif"/>
        </w:rPr>
      </w:pPr>
      <w:bookmarkStart w:id="16" w:name="_Toc75446579"/>
      <w:bookmarkStart w:id="17" w:name="_Toc50125127"/>
      <w:bookmarkStart w:id="18" w:name="_Toc51339697"/>
      <w:bookmarkStart w:id="19" w:name="_Toc50125126_Копия_1"/>
      <w:bookmarkEnd w:id="19"/>
      <w:r>
        <w:rPr>
          <w:rFonts w:ascii="Liberation Serif" w:hAnsi="Liberation Serif"/>
          <w:sz w:val="24"/>
          <w:szCs w:val="24"/>
        </w:rPr>
        <w:t xml:space="preserve">Таблица </w:t>
      </w:r>
      <w:r>
        <w:rPr>
          <w:rFonts w:ascii="Liberation Serif" w:hAnsi="Liberation Serif"/>
          <w:sz w:val="24"/>
          <w:szCs w:val="24"/>
          <w:lang w:val="ru-RU"/>
        </w:rPr>
        <w:t>2</w:t>
      </w:r>
      <w:r>
        <w:rPr>
          <w:rFonts w:ascii="Liberation Serif" w:hAnsi="Liberation Serif"/>
          <w:sz w:val="24"/>
          <w:szCs w:val="24"/>
        </w:rPr>
        <w:t>.</w:t>
      </w:r>
      <w:r>
        <w:rPr>
          <w:rFonts w:ascii="Liberation Serif" w:hAnsi="Liberation Serif"/>
          <w:sz w:val="24"/>
          <w:szCs w:val="24"/>
          <w:lang w:val="ru-RU"/>
        </w:rPr>
        <w:t>1</w:t>
      </w:r>
      <w:r>
        <w:rPr>
          <w:rFonts w:ascii="Liberation Serif" w:hAnsi="Liberation Serif"/>
          <w:sz w:val="24"/>
          <w:szCs w:val="24"/>
        </w:rPr>
        <w:t xml:space="preserve"> </w:t>
      </w:r>
      <w:bookmarkStart w:id="20" w:name="_Hlk50465284"/>
      <w:r>
        <w:rPr>
          <w:rFonts w:ascii="Liberation Serif" w:hAnsi="Liberation Serif"/>
          <w:sz w:val="24"/>
          <w:szCs w:val="24"/>
        </w:rPr>
        <w:t xml:space="preserve">Требования по срокам </w:t>
      </w:r>
      <w:bookmarkEnd w:id="17"/>
      <w:bookmarkEnd w:id="18"/>
      <w:bookmarkEnd w:id="20"/>
      <w:r>
        <w:rPr>
          <w:rFonts w:ascii="Liberation Serif" w:hAnsi="Liberation Serif"/>
          <w:sz w:val="24"/>
          <w:szCs w:val="24"/>
          <w:lang w:val="ru-RU"/>
        </w:rPr>
        <w:t>поставки продукции</w:t>
      </w:r>
      <w:bookmarkEnd w:id="16"/>
      <w:r>
        <w:rPr>
          <w:rFonts w:ascii="Liberation Serif" w:hAnsi="Liberation Serif"/>
          <w:sz w:val="24"/>
          <w:szCs w:val="24"/>
          <w:lang w:val="ru-RU"/>
        </w:rPr>
        <w:t xml:space="preserve"> 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14738" w:type="dxa"/>
        <w:jc w:val="left"/>
        <w:tblInd w:w="2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47"/>
        <w:gridCol w:w="8844"/>
        <w:gridCol w:w="2273"/>
        <w:gridCol w:w="2773"/>
      </w:tblGrid>
      <w:tr>
        <w:trPr>
          <w:trHeight w:val="322" w:hRule="atLeast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41" w:hanging="0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№ </w:t>
            </w:r>
            <w:r>
              <w:rPr>
                <w:rFonts w:ascii="Liberation Serif" w:hAnsi="Liberation Serif"/>
                <w:sz w:val="20"/>
                <w:szCs w:val="20"/>
              </w:rPr>
              <w:t>п/п</w:t>
            </w:r>
          </w:p>
        </w:tc>
        <w:tc>
          <w:tcPr>
            <w:tcW w:w="8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Наименование продукции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iCs/>
                <w:sz w:val="20"/>
                <w:szCs w:val="20"/>
              </w:rPr>
              <w:t>Начало поставки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iCs/>
                <w:sz w:val="20"/>
                <w:szCs w:val="20"/>
              </w:rPr>
              <w:t>Окончание поставки</w:t>
            </w:r>
          </w:p>
        </w:tc>
      </w:tr>
      <w:tr>
        <w:trPr>
          <w:trHeight w:val="565" w:hRule="atLeast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142" w:hanging="0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 w:val="false"/>
                <w:iCs w:val="false"/>
                <w:color w:val="000000"/>
                <w:sz w:val="20"/>
                <w:szCs w:val="20"/>
              </w:rPr>
              <w:t>Подстанции комплектные трансформаторные</w:t>
            </w:r>
            <w:r>
              <w:rPr>
                <w:rFonts w:ascii="Liberation Serif" w:hAnsi="Liberation Serif"/>
                <w:iCs/>
                <w:color w:val="000000"/>
                <w:sz w:val="20"/>
                <w:szCs w:val="20"/>
              </w:rPr>
              <w:t xml:space="preserve"> п.1-33 Таблица </w:t>
            </w:r>
            <w:r>
              <w:rPr>
                <w:rFonts w:ascii="Liberation Serif" w:hAnsi="Liberation Serif"/>
                <w:iCs/>
                <w:color w:val="000000"/>
                <w:sz w:val="20"/>
                <w:szCs w:val="20"/>
                <w:lang w:val="ru-RU"/>
              </w:rPr>
              <w:t>1.1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Cs/>
                <w:sz w:val="20"/>
                <w:szCs w:val="20"/>
              </w:rPr>
              <w:t>С даты заключения договора, но не ранее 11.01.2027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Cs/>
                <w:sz w:val="20"/>
                <w:szCs w:val="20"/>
              </w:rPr>
              <w:t>В течение 120 календарных дней</w:t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Heading4"/>
        <w:tabs>
          <w:tab w:val="clear" w:pos="0"/>
          <w:tab w:val="left" w:pos="849" w:leader="none"/>
          <w:tab w:val="left" w:pos="1300" w:leader="none"/>
        </w:tabs>
        <w:ind w:left="432" w:hanging="0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Heading4"/>
        <w:numPr>
          <w:ilvl w:val="1"/>
          <w:numId w:val="3"/>
        </w:numPr>
        <w:rPr>
          <w:rFonts w:ascii="Liberation Serif" w:hAnsi="Liberation Serif"/>
        </w:rPr>
      </w:pPr>
      <w:bookmarkStart w:id="21" w:name="_Toc75446581"/>
      <w:bookmarkStart w:id="22" w:name="_Toc46743511"/>
      <w:bookmarkStart w:id="23" w:name="_Toc46743510_Копия_1"/>
      <w:bookmarkEnd w:id="23"/>
      <w:r>
        <w:rPr>
          <w:rFonts w:ascii="Liberation Serif" w:hAnsi="Liberation Serif"/>
        </w:rPr>
        <w:t xml:space="preserve">Требования к </w:t>
      </w:r>
      <w:bookmarkEnd w:id="22"/>
      <w:r>
        <w:rPr>
          <w:rFonts w:ascii="Liberation Serif" w:hAnsi="Liberation Serif"/>
          <w:lang w:val="ru-RU"/>
        </w:rPr>
        <w:t>качеству продукции</w:t>
      </w:r>
      <w:bookmarkEnd w:id="21"/>
    </w:p>
    <w:p>
      <w:pPr>
        <w:pStyle w:val="Heading1"/>
        <w:keepLines/>
        <w:tabs>
          <w:tab w:val="clear" w:pos="0"/>
          <w:tab w:val="left" w:pos="849" w:leader="none"/>
          <w:tab w:val="left" w:pos="1300" w:leader="none"/>
        </w:tabs>
        <w:ind w:left="0" w:hang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bookmarkStart w:id="24" w:name="_Toc75446582"/>
      <w:r>
        <w:rPr>
          <w:rFonts w:ascii="Liberation Serif" w:hAnsi="Liberation Serif"/>
          <w:sz w:val="24"/>
          <w:szCs w:val="24"/>
        </w:rPr>
        <w:t>Таблица </w:t>
      </w:r>
      <w:r>
        <w:rPr>
          <w:rFonts w:ascii="Liberation Serif" w:hAnsi="Liberation Serif"/>
          <w:sz w:val="24"/>
          <w:szCs w:val="24"/>
          <w:lang w:val="ru-RU"/>
        </w:rPr>
        <w:t>3</w:t>
      </w:r>
      <w:r>
        <w:rPr>
          <w:rFonts w:ascii="Liberation Serif" w:hAnsi="Liberation Serif"/>
          <w:sz w:val="24"/>
          <w:szCs w:val="24"/>
        </w:rPr>
        <w:t xml:space="preserve">. Требования к </w:t>
      </w:r>
      <w:r>
        <w:rPr>
          <w:rFonts w:ascii="Liberation Serif" w:hAnsi="Liberation Serif"/>
          <w:sz w:val="24"/>
          <w:szCs w:val="24"/>
          <w:lang w:val="ru-RU"/>
        </w:rPr>
        <w:t>продукции</w:t>
      </w:r>
      <w:bookmarkEnd w:id="24"/>
      <w:r>
        <w:rPr>
          <w:rFonts w:ascii="Liberation Serif" w:hAnsi="Liberation Serif"/>
          <w:sz w:val="24"/>
          <w:szCs w:val="24"/>
        </w:rPr>
        <w:t xml:space="preserve"> 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14740" w:type="dxa"/>
        <w:jc w:val="left"/>
        <w:tblInd w:w="18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34"/>
        <w:gridCol w:w="4765"/>
        <w:gridCol w:w="3408"/>
        <w:gridCol w:w="2376"/>
        <w:gridCol w:w="1816"/>
        <w:gridCol w:w="1540"/>
      </w:tblGrid>
      <w:tr>
        <w:trPr/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4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3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Требование заказчика</w:t>
            </w: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*</w:t>
            </w:r>
          </w:p>
        </w:tc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  <w:tc>
          <w:tcPr>
            <w:tcW w:w="47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  <w:tc>
          <w:tcPr>
            <w:tcW w:w="3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Предоставление подтверждающего документа на этапе закупки</w:t>
            </w:r>
          </w:p>
        </w:tc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</w:tr>
      <w:tr>
        <w:trPr/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2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3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4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6</w:t>
            </w:r>
          </w:p>
        </w:tc>
      </w:tr>
      <w:tr>
        <w:trPr/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1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техническим и функциональным характеристикам КТП (включая гарантируемые показатели)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-//-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-//-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-//-</w:t>
            </w:r>
          </w:p>
        </w:tc>
      </w:tr>
      <w:tr>
        <w:trPr>
          <w:trHeight w:val="9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spacing w:before="60" w:after="60"/>
              <w:contextualSpacing/>
              <w:jc w:val="center"/>
              <w:rPr>
                <w:rFonts w:ascii="Liberation Serif" w:hAnsi="Liberation Serif" w:eastAsia="Calibri"/>
                <w:b/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К</w:t>
            </w:r>
            <w:r>
              <w:rPr>
                <w:rFonts w:ascii="Liberation Serif" w:hAnsi="Liberation Serif"/>
                <w:sz w:val="20"/>
                <w:szCs w:val="20"/>
              </w:rPr>
              <w:t>омплектная трансформаторная подстанция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Cs/>
                <w:sz w:val="20"/>
                <w:szCs w:val="20"/>
              </w:rPr>
              <w:t xml:space="preserve">В соответствии с приложениями №1-33 к настоящим Техническим требованиям </w:t>
            </w:r>
            <w:r>
              <w:rPr>
                <w:rFonts w:ascii="Liberation Serif" w:hAnsi="Liberation Serif"/>
                <w:sz w:val="20"/>
                <w:szCs w:val="20"/>
              </w:rPr>
              <w:t>- Опросные листы и схемы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i/>
                <w:iCs/>
                <w:color w:val="A6A6A6"/>
                <w:sz w:val="20"/>
                <w:szCs w:val="20"/>
              </w:rPr>
              <w:t>Представить заполненные опросные листы согласно техническим параметрам Приложений № 1-33 -Опросные листы и схемы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649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Тип КТП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КТПН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в соответствии с опросными листами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-//-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615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1.3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Мощность силового трансформатора, кВА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соответствии с опросными листами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Представить заполненные опросные листы согласно техническим параметрам Приложений № 1-33 –Опросные листы и схемы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6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1.4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Номинальная частота, Гц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80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1.5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Номинальное напряжение на стороне высшего напряжения (стороне ВН), кВ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соответствии с опросными листами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Представить заполненные опросные листы согласно техническим параметрам Приложений № 1-33 –Опросные листы и схемы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15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1.6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Наибольшее рабочее напряжение на стороне ВН, кВ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соответствии с опросными листами, и ГОСТ 14695-80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87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1.7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Номинальное напряжение на стороне НН, кВ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0,4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1.8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Номинальное напряжение вспомогательных цепей КТП, В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соответствии с ГОСТ 14695-80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1.9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Ток термической стойкости на стороне ВН не менее, кА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12,5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4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1.10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Время протекания тока термической стойкости на стороне ВН не менее, с.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5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1.11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Ток электродинамической стойкости на стороне ВН не менее, кА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21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1.12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Ток термической стойкости на стороне НН, кА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kern w:val="2"/>
                <w:sz w:val="20"/>
                <w:szCs w:val="20"/>
              </w:rPr>
              <w:t>Соответствие стойкости к току короткого замыкания вводов со стороны НН трансформатора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1.13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Время протекания тока термической стойкости на стороне НН не менее, с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2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Требования к электрической прочности изоляции: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37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Уровень изоляции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68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Испытательное напряжение полного грозового импульса: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pacing w:lineRule="auto" w:line="240" w:before="0" w:after="0"/>
              <w:ind w:left="282" w:hanging="282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относительно земли, между полюсами и между контактами выключателя и выключателя нагрузки без воздушного промежутка;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pacing w:lineRule="auto" w:line="240" w:before="0" w:after="0"/>
              <w:ind w:left="282" w:hanging="282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между контактами разъединителя, предохранителя, выключателя нагрузки (с видимым воздушным промежутком)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соответствии с  ГОСТ 1516.3-96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1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2.3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282" w:hanging="282"/>
              <w:contextualSpacing/>
              <w:rPr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sz w:val="20"/>
                <w:szCs w:val="20"/>
              </w:rPr>
              <w:t>Кратковременное (одноминутное) переменное напряжение: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282" w:hanging="282"/>
              <w:contextualSpacing/>
              <w:rPr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sz w:val="20"/>
                <w:szCs w:val="20"/>
              </w:rPr>
              <w:t>относительно земли, между полюсами и между контактами выключателя и выключателя нагрузки без воздушного промежутка;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282" w:hanging="282"/>
              <w:contextualSpacing/>
              <w:rPr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sz w:val="20"/>
                <w:szCs w:val="20"/>
              </w:rPr>
              <w:t>между контактами разъединителя, предохранителя, выключателя нагрузки (с видимым воздушным промежутком);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282" w:hanging="282"/>
              <w:contextualSpacing/>
              <w:rPr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sz w:val="20"/>
                <w:szCs w:val="20"/>
              </w:rPr>
              <w:t>под дождем (для категории размещения 1)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соответствии с  ГОСТ 1516.3-96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lang w:val="en-US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lang w:val="en-US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lang w:val="en-US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lang w:val="en-US"/>
              </w:rPr>
            </w:r>
          </w:p>
        </w:tc>
      </w:tr>
      <w:tr>
        <w:trPr>
          <w:trHeight w:val="168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2.4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Удельная эффективная длина пути утечки внешней изоляции, см/кВ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2,35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9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2.5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Испытательное напряжение изоляции главных и вспомогательных цепей КТП со стороны НН, в течение 1 мин., кВ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12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2.6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Сопротивление изоляции электрически изолированных цепей шкафов РУНН, МОм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1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3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3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силовому трансформатору</w:t>
            </w:r>
            <w:r>
              <w:rPr>
                <w:rFonts w:ascii="Liberation Serif" w:hAnsi="Liberation Serif"/>
                <w:sz w:val="20"/>
                <w:szCs w:val="20"/>
              </w:rPr>
              <w:t>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4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3.1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Тип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ТМГ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3.2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Вид охлаждения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естественное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6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3.3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Количество, шт.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Cs/>
                <w:sz w:val="20"/>
                <w:szCs w:val="20"/>
              </w:rPr>
              <w:t xml:space="preserve">В соответствии с приложениями №1-33 к настоящим Техническим требованиям </w:t>
            </w:r>
            <w:r>
              <w:rPr>
                <w:rFonts w:ascii="Liberation Serif" w:hAnsi="Liberation Serif"/>
                <w:sz w:val="20"/>
                <w:szCs w:val="20"/>
              </w:rPr>
              <w:t>– Опросные листы и схемы.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Представить заполненные опросные листы согласно техническим параметрам Приложений № 1-33 –Опросные листы и схемы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579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3.4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Схема и группа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соединения обмоток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до 250 кВА схемы соединения Y/Zн-11, 400 кВА и более ∆/Yн-11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87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3.5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Выполнения нейтрали трансформатора на стороне НН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 глухозаземленной нейтралью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3.6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Вид, диапазон и количество ступеней регулирования напряжения </w:t>
              <w:br/>
              <w:t>на стороне ВН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ПБВ ±2X 2,5%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3.7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Потери холостого хода, Вт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соответствии с п. 27 раздела 2 Постановления правительства РФ от 17.06.2015 № 600.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3.8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Потери короткого замыкания, Вт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соответствии с п. 27 раздела 2 Постановления правительства РФ от 17.06.2015 № 600</w:t>
            </w: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4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РУВН (УВН):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color w:val="000000"/>
                <w:sz w:val="20"/>
                <w:szCs w:val="20"/>
              </w:rPr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1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4.1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Требования к шкафу РУ (для КТПН):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49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4.1.2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Механический ресурс не менее: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lineRule="auto" w:line="240" w:before="0" w:after="0"/>
              <w:ind w:left="282" w:hanging="282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разъемных контактных соединений главных цепей, операций ВО;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lineRule="auto" w:line="240" w:before="0" w:after="0"/>
              <w:ind w:left="282" w:hanging="282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разъемных контактных соединений вспомогательных цепей, операций ВО;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lineRule="auto" w:line="240" w:before="0" w:after="0"/>
              <w:ind w:left="282" w:hanging="282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дверей шкафов РУ, открываний и закрываний;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lineRule="auto" w:line="240" w:before="0" w:after="0"/>
              <w:ind w:left="282" w:hanging="282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защитных шторок, открываний и закрываний;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lineRule="auto" w:line="240" w:before="0" w:after="0"/>
              <w:ind w:left="282" w:hanging="282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заземляющего разъединителя, операций ВО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2000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500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2000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2000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500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8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4.2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Требования к выключателю нагрузки (для КТПН):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9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4.2.1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Тип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соответствии с опросными листами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9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4.2.2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Вид выключателя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соответствии с опросными листами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9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4.2.3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Вид привода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соответствии с опросными листами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88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4.2.4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Род установки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РУ ВН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9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4.2.5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Кол-во, ед./ номинальный ток, 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Cs/>
                <w:sz w:val="20"/>
                <w:szCs w:val="20"/>
              </w:rPr>
              <w:t>В соответствии с оп</w:t>
            </w:r>
            <w:r>
              <w:rPr>
                <w:rFonts w:ascii="Liberation Serif" w:hAnsi="Liberation Serif"/>
                <w:sz w:val="20"/>
                <w:szCs w:val="20"/>
              </w:rPr>
              <w:t>росными листами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Представить заполненные опросные листы согласно техническим параметрам Приложений № 1-33 –Опросные листы и схемы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638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4.2.6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Механический ресурс, циклов В-tп-О, операций ,не менее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10000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638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4.3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kern w:val="2"/>
                <w:sz w:val="20"/>
                <w:szCs w:val="20"/>
              </w:rPr>
              <w:t>Требования к разъединителю: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kern w:val="2"/>
                <w:sz w:val="20"/>
                <w:szCs w:val="20"/>
              </w:rPr>
              <w:t>- // -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kern w:val="2"/>
                <w:sz w:val="20"/>
                <w:szCs w:val="20"/>
              </w:rPr>
              <w:t>- // -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kern w:val="2"/>
                <w:sz w:val="20"/>
                <w:szCs w:val="20"/>
              </w:rPr>
              <w:t>- // -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638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4.3.1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Тип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соответствии с опросными листами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638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4.3.2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Кол-во, ед./ номинальный ток, А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Cs/>
                <w:sz w:val="20"/>
                <w:szCs w:val="20"/>
              </w:rPr>
              <w:t>В соответствии с оп</w:t>
            </w:r>
            <w:r>
              <w:rPr>
                <w:rFonts w:ascii="Liberation Serif" w:hAnsi="Liberation Serif"/>
                <w:sz w:val="20"/>
                <w:szCs w:val="20"/>
              </w:rPr>
              <w:t>росными листами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Представить заполненные опросные листы согласно техническим параметрам Приложений № 1-33 –Опросные листы и схемы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638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4.3.3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Вид привода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соответствии с опросными листами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638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4.3.4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kern w:val="2"/>
                <w:sz w:val="20"/>
                <w:szCs w:val="20"/>
              </w:rPr>
              <w:t>Управление приводом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kern w:val="2"/>
                <w:sz w:val="20"/>
                <w:szCs w:val="20"/>
              </w:rPr>
              <w:t>Местное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638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4.3.5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Механический ресурс, циклов В-tп-О, операций ,не менее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10000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5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ограничителю перенапряжения 6-10 кВ: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  <w:lang w:val="en-US"/>
              </w:rPr>
              <w:t>5</w:t>
            </w:r>
            <w:r>
              <w:rPr>
                <w:rFonts w:eastAsia="Calibri" w:ascii="Liberation Serif" w:hAnsi="Liberation Serif"/>
                <w:sz w:val="20"/>
                <w:szCs w:val="20"/>
              </w:rPr>
              <w:t>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Тип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ОПН УХЛ1, в соответствии с опросными листами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5.2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Количество, 3-х фазный комплект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Cs/>
                <w:sz w:val="20"/>
                <w:szCs w:val="20"/>
              </w:rPr>
              <w:t xml:space="preserve">В соответствии с приложениями №1-33 к настоящим Техническим требованиям </w:t>
            </w:r>
            <w:r>
              <w:rPr>
                <w:rFonts w:ascii="Liberation Serif" w:hAnsi="Liberation Serif"/>
                <w:sz w:val="20"/>
                <w:szCs w:val="20"/>
              </w:rPr>
              <w:t>- Опросные листы и схемы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Представить заполненные опросные листы согласно техническим параметрам Приложений № 1-33 –Опросные листы и схемы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5.3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cs="Liberation Serif;Times New Roma" w:ascii="Liberation Serif" w:hAnsi="Liberation Serif"/>
                <w:kern w:val="2"/>
                <w:sz w:val="20"/>
                <w:szCs w:val="20"/>
              </w:rPr>
              <w:t>Наибольшее длительно допустимое рабочее напряжение, кВ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cs="Liberation Serif;Times New Roma" w:ascii="Liberation Serif" w:hAnsi="Liberation Serif"/>
                <w:sz w:val="20"/>
                <w:szCs w:val="20"/>
              </w:rPr>
              <w:t>В соответствии с опросными листами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cs="Liberation Serif;Times New Roma"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1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6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РУНН: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6.1</w:t>
            </w:r>
          </w:p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rFonts w:ascii="Liberation Serif" w:hAnsi="Liberation Serif" w:eastAsia="Calibri"/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Номинальный ток сборных шин, 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соответствии с номинальным током силового трансформатора следующего габарита относительно указанного в опросных листах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8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6.2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В ТП между низковольтным выводом силового трансформатора и вводным аппаратом защиты и управления необходимо использовать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жесткую ошиновку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(</w:t>
            </w: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медные или алюминиевые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шины)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6.3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Механический ресурс открывания и закрывания дверей шкафов, операций, не менее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1000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7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рубильнику: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585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7.1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Кол-во, ед./ номинальный ток, 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Cs/>
                <w:sz w:val="20"/>
                <w:szCs w:val="20"/>
              </w:rPr>
              <w:t xml:space="preserve">В соответствии с приложениями №1-33 к настоящим Техническим требованиям </w:t>
            </w:r>
            <w:r>
              <w:rPr>
                <w:rFonts w:ascii="Liberation Serif" w:hAnsi="Liberation Serif"/>
                <w:sz w:val="20"/>
                <w:szCs w:val="20"/>
              </w:rPr>
              <w:t>- Опросные листы и схемы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Представить заполненные опросные листы согласно техническим параметрам Приложений № 1-33 –Опросные листы и схемы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8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7.2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Применить рубильники 0,4 кВ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С диэлектрической рукоятью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4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8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автоматическим выключателям: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87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8.1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Кол-во/номинальный ток, 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Cs/>
                <w:sz w:val="20"/>
                <w:szCs w:val="20"/>
              </w:rPr>
              <w:t xml:space="preserve">В соответствии с приложениями №1-33 к настоящим Техническим требованиям </w:t>
            </w:r>
            <w:r>
              <w:rPr>
                <w:rFonts w:ascii="Liberation Serif" w:hAnsi="Liberation Serif"/>
                <w:sz w:val="20"/>
                <w:szCs w:val="20"/>
              </w:rPr>
              <w:t>- Опросные листы и схемы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Представить заполненные опросные листы согласно техническим параметрам Приложений № 1-33 –Опросные листы и схемы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8.2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Регулировка уставок по току срабатывания для расцепителей в условиях эксплуатации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Да, для выключателей с  номинальным током 160 А и более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9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трансформаторам тока для измерений: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9.1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Кол-во, фаз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81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  <w:shd w:fill="auto" w:val="clear"/>
              </w:rPr>
              <w:t>9.2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shd w:fill="auto" w:val="clear"/>
              </w:rPr>
              <w:t>Номинальный первичный ток, А/ Наибольший рабочий первичный ток, 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Cs/>
                <w:sz w:val="20"/>
                <w:szCs w:val="20"/>
                <w:shd w:fill="auto" w:val="clear"/>
              </w:rPr>
              <w:t xml:space="preserve">В соответствии с приложениями №1-33 к настоящим Техническим требованиям </w:t>
            </w:r>
            <w:r>
              <w:rPr>
                <w:rFonts w:ascii="Liberation Serif" w:hAnsi="Liberation Serif"/>
                <w:sz w:val="20"/>
                <w:szCs w:val="20"/>
                <w:shd w:fill="auto" w:val="clear"/>
              </w:rPr>
              <w:t>- Опросные листы и схемы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  <w:t>Представить заполненные опросные листы согласно техническим параметрам Приложений № 1-33 –Опросные листы и схемы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</w:tr>
      <w:tr>
        <w:trPr>
          <w:trHeight w:val="15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  <w:shd w:fill="auto" w:val="clear"/>
              </w:rPr>
              <w:t>9.3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shd w:fill="auto" w:val="clear"/>
              </w:rPr>
              <w:t>Номинальный вторичный ток, 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  <w:shd w:fill="auto" w:val="clear"/>
              </w:rPr>
              <w:t>9.4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  <w:shd w:fill="auto" w:val="clear"/>
              </w:rPr>
              <w:t>Класс точности трансформаторов тока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shd w:fill="auto" w:val="clear"/>
              </w:rPr>
              <w:t>0,</w:t>
            </w:r>
            <w:r>
              <w:rPr>
                <w:rFonts w:ascii="Liberation Serif" w:hAnsi="Liberation Serif"/>
                <w:sz w:val="20"/>
                <w:szCs w:val="20"/>
                <w:shd w:fill="auto" w:val="clear"/>
                <w:lang w:val="en-US"/>
              </w:rPr>
              <w:t>5</w:t>
            </w:r>
            <w:r>
              <w:rPr>
                <w:rFonts w:ascii="Liberation Serif" w:hAnsi="Liberation Serif"/>
                <w:sz w:val="20"/>
                <w:szCs w:val="20"/>
                <w:shd w:fill="auto" w:val="clear"/>
              </w:rPr>
              <w:t>S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</w:tr>
      <w:tr>
        <w:trPr>
          <w:trHeight w:val="225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  <w:shd w:fill="auto" w:val="clear"/>
              </w:rPr>
              <w:t>9.5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  <w:shd w:fill="auto" w:val="clear"/>
              </w:rPr>
              <w:t>Межповерочный интервал трансформаторов тока 0,4 кВ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shd w:fill="auto" w:val="clear"/>
              </w:rPr>
              <w:t>не менее 8 лет, первичная поверка не ранее 2026 г.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</w:tr>
      <w:tr>
        <w:trPr>
          <w:trHeight w:val="225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9.6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  <w:shd w:fill="FFFFFF" w:val="clear"/>
              </w:rPr>
              <w:t>Номинальная вторичная нагрузка обмоток учета, ВА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10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ограничителю перенапряжения 0,4 кВ: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1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10.1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Тип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ОПН УХЛ1, в соответствии с опросными листами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4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11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Требования к узлу учета электроэнергии: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/>
                <w:bCs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/>
                <w:bCs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/>
                <w:bCs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98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11.1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Установка электросчетчиков: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174" w:hanging="174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на стороне ВН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174" w:hanging="174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на стороне НН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174" w:hanging="174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на присоединениях НН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Нет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Нет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В соответствии с Опросными листами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Представить заполненные опросные листы согласно техническим параметрам Приложений № 1-33 –Опросные листы и схемы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2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shd w:fill="auto" w:val="clear"/>
              </w:rPr>
              <w:t>11.2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  <w:shd w:fill="auto" w:val="clear"/>
              </w:rPr>
              <w:t>Шкаф учета электрической энергии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shd w:fill="auto" w:val="clear"/>
              </w:rPr>
              <w:t>Жесткой конструкции (согласно п.1.5.29 ПУЭ)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</w:tr>
      <w:tr>
        <w:trPr>
          <w:trHeight w:val="225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  <w:shd w:fill="auto" w:val="clear"/>
              </w:rPr>
              <w:t>11.3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  <w:shd w:fill="auto" w:val="clear"/>
              </w:rPr>
              <w:t>На монтажной панели щита учета предусмотреть места для установки счетчиков электроэнергии (1.5.29, 1.5.31 ПУЭ).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shd w:fill="auto" w:val="clear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</w:tr>
      <w:tr>
        <w:trPr>
          <w:trHeight w:val="24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  <w:shd w:fill="auto" w:val="clear"/>
              </w:rPr>
              <w:t>11.4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  <w:shd w:fill="auto" w:val="clear"/>
              </w:rPr>
              <w:t>На панели ячеек выполнить монтаж испытательных коробок (2.8.14.6 ГОСТ14693-90 и 1.5.23 ПУЭ), предназначенных для обеспечения работ с приборами учёта без разрыва токовых цепей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shd w:fill="auto" w:val="clear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</w:tr>
      <w:tr>
        <w:trPr>
          <w:trHeight w:val="195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  <w:shd w:fill="auto" w:val="clear"/>
              </w:rPr>
              <w:t>11.5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  <w:shd w:fill="auto" w:val="clear"/>
              </w:rPr>
              <w:t>Трансформаторы тока 0,4 кВ устанавливаются комплектом на все 3 фазы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shd w:fill="auto" w:val="clear"/>
              </w:rPr>
              <w:t>Устанавливаются комплектом на все 3 фазы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</w:tr>
      <w:tr>
        <w:trPr>
          <w:trHeight w:val="171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  <w:shd w:fill="auto" w:val="clear"/>
              </w:rPr>
              <w:t>11.6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  <w:shd w:fill="auto" w:val="clear"/>
              </w:rPr>
              <w:t>Класс точности трансформаторов тока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shd w:fill="auto" w:val="clear"/>
              </w:rPr>
              <w:t>0,5S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</w:tr>
      <w:tr>
        <w:trPr>
          <w:trHeight w:val="225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  <w:shd w:fill="auto" w:val="clear"/>
              </w:rPr>
              <w:t>11.7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  <w:shd w:fill="auto" w:val="clear"/>
              </w:rPr>
              <w:t>Межповерочный интервал трансформаторов тока 0,4 кВ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shd w:fill="auto" w:val="clear"/>
              </w:rPr>
              <w:t>не менее 8 лет, первичная поверка не ранее 4 квартала 2025 г.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</w:tr>
      <w:tr>
        <w:trPr>
          <w:trHeight w:val="225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  <w:shd w:fill="auto" w:val="clear"/>
              </w:rPr>
              <w:t>11.8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  <w:shd w:fill="auto" w:val="clear"/>
              </w:rPr>
              <w:t>Обеспечить монтаж измерительных трансформаторов тока, с учётом прокладки вторичных цепей измерений непосредственно до испытательных коробок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shd w:fill="auto" w:val="clear"/>
              </w:rPr>
              <w:t>медным кабелем длиной не более 10 м, S=&gt;2,5 мм² (согласно п.3.4.4 ПУЭ изд.6, ГОСТ 19132-86 Р). Произвести подключение трансформаторов тока к испытательным коробкам. Вторичные цепи промаркировать с двух сторон.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shd w:fill="auto" w:val="clear"/>
              </w:rPr>
            </w:r>
          </w:p>
        </w:tc>
      </w:tr>
      <w:tr>
        <w:trPr>
          <w:trHeight w:val="228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12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безопасности: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1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12.1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Степень защищенности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174" w:hanging="174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bCs/>
                <w:sz w:val="20"/>
                <w:szCs w:val="20"/>
              </w:rPr>
              <w:t>КТПН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174" w:hanging="174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bCs/>
                <w:sz w:val="20"/>
                <w:szCs w:val="20"/>
              </w:rPr>
              <w:t>оборудования категории размещения 1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 xml:space="preserve">не ниже </w:t>
            </w:r>
            <w:r>
              <w:rPr>
                <w:rFonts w:ascii="Liberation Serif" w:hAnsi="Liberation Serif"/>
                <w:bCs/>
                <w:sz w:val="20"/>
                <w:szCs w:val="20"/>
                <w:lang w:val="en-US"/>
              </w:rPr>
              <w:t>IP</w:t>
            </w:r>
            <w:r>
              <w:rPr>
                <w:rFonts w:ascii="Liberation Serif" w:hAnsi="Liberation Serif"/>
                <w:bCs/>
                <w:sz w:val="20"/>
                <w:szCs w:val="20"/>
              </w:rPr>
              <w:t xml:space="preserve"> 34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 xml:space="preserve">не ниже </w:t>
            </w:r>
            <w:r>
              <w:rPr>
                <w:rFonts w:ascii="Liberation Serif" w:hAnsi="Liberation Serif"/>
                <w:bCs/>
                <w:sz w:val="20"/>
                <w:szCs w:val="20"/>
                <w:lang w:val="en-US"/>
              </w:rPr>
              <w:t>IP</w:t>
            </w:r>
            <w:r>
              <w:rPr>
                <w:rFonts w:ascii="Liberation Serif" w:hAnsi="Liberation Serif"/>
                <w:bCs/>
                <w:sz w:val="20"/>
                <w:szCs w:val="20"/>
              </w:rPr>
              <w:t xml:space="preserve"> 54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12.2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Температура нагрева в нормальном режиме нетоковедущих частей КТП, к которым можно прикасаться при эксплуатации (листы приборные, крышки), ℃ ,не более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70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12.3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Во вводных шкафах РУНН должны быть предусмотрены и обозначены места для наложения переносного заземления.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85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12.4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Все приборы, аппараты, а также ряды зажимов и соединительная проводка должны быть маркированы в соответствии с п. 5.4.14. ПТЭ и ЭСиС., п. 3.28., 7. ГОСТ 14695-80 «Подстанции трансформаторные комплектные мощностью от 25 до 2500 кВА на напряжение до 10 кВ».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Cs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Cs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13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конструкции, изготовлению и материалам: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Конструктивное исполнение КТП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в соответствии с опросными листами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Способ присоединения КТП к ЛЭП со стороны ВН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в соответствии с опросными листами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3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Наличие коридора (тамбура) обслуживания в УВН и РУНН категории 1, Да/Нет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в соответствии с опросными листами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4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Выполнение высоковольтного ввода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в соответствии с опросными листами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13.5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Присоединение к шкафам РУНН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в соответствии с опросными листами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13.6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Конструкция КТП должна обеспечивать возможность замены силового трансформатора без демонтажа РУНН.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6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13.7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ТП должны поставляться в полностью собранном виде или транспортными блоками, подготовленными для сборки на месте монтажа без разборки коммутационных аппаратов, проверки надежности болтовых соединений и правильности внутренних соединений п. 3.16.  ГОСТ 14695-80 «Подстанции трансформаторные комплектные мощностью от 25 до 2500 кВА на напряжение до 10 кВ».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4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13.8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Оснастить необходимыми блокировками, (блокирующими замками) препятствующими проникновению персонала при поданном напряжении согласно ПТЭ РФ п.5.4.10, узлы ТП: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- привод главных ножей отдельностоящего разъединителя с вводным выключателем 0,4 кВ;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- привод заземляющих ножей выключателя нагрузки с дверцами отсека ВН (при наличии) и дверцами трансформаторного отсека.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3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13.9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Вентиляция отсеков (для КТПН) трансформаторов должна обеспечивать отвод выделяемого ими тепла в таких количествах, чтобы при их нагрузке, с учетом перегрузочной способности и максимальной расчетной температуре окружающей среды, нагрев трансформаторов не превышал максимально допустимого для них значения.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При невозможности обеспечить теплообмен естественной вентиляцией необходимо предусмотреть принудительную, при этом должен быть предусмотрен контроль ее работы с помощью сигнальных аппаратов.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4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13.10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Прокладка проводов вспомогательных цепей должна производиться изолированным проводом как в монтажных коробках, так и непосредственно по металлическим панелям с обеспечением возможности контроля и замены поврежденного провода.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13.11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Расстояния в свету от токоведущих частей до различных элементов в соответствии с ПУЭ, изд.7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4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13.12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Приборы и аппараты вспомогательных цепей должны устанавливаться таким образом, чтобы была обеспечена возможность их обслуживания без снятия напряжения с главных цепей КТП.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1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13.13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Иметь освещение панелей, на которых смонтированы измерительные приборы и расположены рукоятки управления аппаратами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1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13.14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 xml:space="preserve">Иметь питание напряжением не выше 42 В и розетку для включения лампы переносного освещения, кроме одно трансформаторных КТП </w:t>
            </w:r>
            <w:r>
              <w:rPr>
                <w:rFonts w:ascii="Liberation Serif" w:hAnsi="Liberation Serif"/>
                <w:bCs/>
                <w:sz w:val="20"/>
                <w:szCs w:val="20"/>
                <w:lang w:val="en-US"/>
              </w:rPr>
              <w:t>S</w:t>
            </w:r>
            <w:r>
              <w:rPr>
                <w:rFonts w:ascii="Liberation Serif" w:hAnsi="Liberation Serif"/>
                <w:bCs/>
                <w:sz w:val="20"/>
                <w:szCs w:val="20"/>
              </w:rPr>
              <w:t xml:space="preserve"> до 250 кВА.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78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13.15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Сетчатые ограждения (внутренние двери, панели КТПН) должны иметь ячейки размером не более, мм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25х25 мм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Представить чертеж сетчат</w:t>
            </w:r>
            <w:r>
              <w:rPr>
                <w:rFonts w:ascii="Liberation Serif" w:hAnsi="Liberation Serif"/>
                <w:i/>
                <w:color w:val="A6A6A6"/>
                <w:sz w:val="20"/>
                <w:szCs w:val="20"/>
                <w:lang w:val="en-US"/>
              </w:rPr>
              <w:t xml:space="preserve">ого </w:t>
            </w: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ограждения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105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13.16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Внешние двери выполнить с уплотнителем обеспечивающим плотный контакт между дверью и корпусом.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519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13.17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</w:t>
            </w: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нутренние петли в конструкции дверей.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08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13.18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Для запирания дверей применить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т</w:t>
            </w: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рехточечное запирающее устройство, унифицированные внутренние замки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1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13.19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В КТПН предусмотреть монтаж пола в РУВН и РУНН, мм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Из рифленого листового железа толщиной не менее 4 мм,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1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13.20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Наличие маслоприемника в камере трансформатора или под силовым трансформатором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в соответствие с ПУЭ, изд. 7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1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13.21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Гарантия на защиту от коррозии, при отсутствии механических повреждений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Не менее 10 лет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598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13.22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В КТПН во всех отсеках предусмотреть болты заземления, выполненные сварным соединением к раме КТП, для заземления трансформатора и нулевой шпильки трансформатора.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58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13.23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В КТПН крепление внутренних перегородок выполнить на клепках или болтовых соединениях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58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13.24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В РУНН ТП коммутационные аппараты и открытые токоведущие части по стороне 0,4 кВ должны иметь сплошное ограждение от поражения электрическим током в соответствии с ГОСТ Р 50571.4.41-2022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58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13.25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В РУВН  КТПН предусмотреть ограждение неизолированных токоведущих частей с возможностью доступа к ним, согласно п. 4.2.88 ПУЭ (изд. 7).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14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13.26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Предусмотреть вертикальное расположение выключателей 0,4 кВ в горизонтальном ряду (рядах) с возможностью присоединения отходящих линий снизу.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557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13.27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Для предотвращения попадания влаги в местах крепления проходных изоляторов ВН к крышке короба КТПН с воздушным вводом применить один из способов: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1. Место крепления исполнить выше поверхности крышки на 5-8 мм (наплыв, штамповка);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2. Крышку короба РУ ВН выполнить  из стали толщиной не менее 6 мм.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1 или 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Указать способ исполнения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1 или 2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00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13.28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В КТПН Обеспечить герметичное соединение «металлический корпус – фланец проходного изолятора» 6-10 кВ без герметика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665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13.29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Оснастить заходы ВЛ 6-10 кВ на ТП специальными птицезащитными устройствами предотвращающими повреждение птиц (защитные колпаки, противоприсадочные устройства, АПЗУ, ПЗУ)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указать чем оснащается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225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13.30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В КТПН воздушный ввод ВН и выход НН выполнить в отдельных коробах с возможным доступом для замены изоляторов и шин.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 xml:space="preserve">Да, </w:t>
            </w:r>
            <w:r>
              <w:rPr>
                <w:rFonts w:ascii="Liberation Serif" w:hAnsi="Liberation Serif"/>
                <w:bCs/>
                <w:color w:val="000000"/>
                <w:sz w:val="20"/>
                <w:szCs w:val="20"/>
              </w:rPr>
              <w:t>в соответствии с опросными листами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01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13.31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В КТПН короба ВН и НН выполнить с учётом ветровых нагрузок (не менее 32 м/с.).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665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13.32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В КТП предусмотреть монтаж необратимых термоиндикаторов в местах контактных соединений: силового трансформатора (на вводах ВН и НН), кабеля (СИП) к линейным отходящим коммутационным аппаратам, кабеля (шин) к главному рубильнику (автоматическому выключателю) 0,4 кВ.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598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13.33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Корпуса ТП должны быть выполнены из стали толщиной, не менее, мм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665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13.34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Все металлические детали корпуса ТП должны иметь защитное покрытие от коррозии п. 3.13.  ГОСТ 14695-80 «Подстанции трансформаторные комплектные мощностью от 25 до 2500 кВ·А на напряжение до 10 кВ».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665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13.35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Габариты трансформаторного отсека и ошиновку Выполнить с учётом возможности установки силового трансформатора следующего габарита. Для КТПН предусмотреть возможность замены (перемещения) трансформатора на собственных колесах, входящих в комплект. В рабочем положении трансформатор должен быть жестко закреплен.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14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Климатическое исполнение КТП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14.1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Климатическое исполнение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УХЛ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9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14.2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Категория размещения: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174" w:hanging="0"/>
              <w:contextualSpacing/>
              <w:rPr>
                <w:rFonts w:ascii="Liberation Serif" w:hAnsi="Liberation Serif" w:eastAsia="Times New Roman"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bCs/>
                <w:sz w:val="20"/>
                <w:szCs w:val="20"/>
              </w:rPr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1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24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14.3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Верхнее рабочее значение температуры окружающего воздуха, °С, для климатических исполнений и категорий размещения: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bCs/>
                <w:sz w:val="20"/>
                <w:szCs w:val="20"/>
              </w:rPr>
              <w:t>- УХЛ1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плюс 40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4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14.4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Нижнее рабочее значение температуры окружающего воздуха, °С, для климатических исполнений и категорий размещения: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bCs/>
                <w:sz w:val="20"/>
                <w:szCs w:val="20"/>
              </w:rPr>
              <w:t>УХЛ1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Минус 60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14.5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Высота над уровнем моря, м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до 1000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3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14.6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Толщина стенки гололеда, мм, не менее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20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4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14.7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Допустимая скорость ветра при наличии гололеда, м/с, не менее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15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14.8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Допустимая скорость ветра при отсутствии гололеда, м/с, не менее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36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14.9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Сейсмостойкость, баллов по шкале MSK-64, не менее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6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15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Требования к качеству поставляемой продукции: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15.1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Продукция должна быть новая*, ранее не используемая.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* - Под новым следует понимать оборудование, которое не было в употреблении, не приходило ремонт, в том числе восстановление, замену составных частей, восстановление потребительских свойств.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15.2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Год выпуска продукции (оборудования)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Оборудование должно быть не ранее 4 квартала 2025 года, серийного выпуска.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kern w:val="2"/>
                <w:sz w:val="20"/>
                <w:szCs w:val="20"/>
              </w:rPr>
              <w:t>Указание года выпуска продукции (оборудования)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751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16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30" w:hRule="atLeast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16.1</w:t>
            </w:r>
          </w:p>
        </w:tc>
        <w:tc>
          <w:tcPr>
            <w:tcW w:w="4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Место поставки продукции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Место поставки : </w:t>
            </w:r>
            <w:r>
              <w:rPr>
                <w:rFonts w:ascii="Liberation Serif" w:hAnsi="Liberation Serif"/>
                <w:sz w:val="20"/>
                <w:szCs w:val="20"/>
              </w:rPr>
              <w:t>Для филиала «Амурские ЭС»: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675003, Амурская область, г. Благовещенск, ул. Театральная, 179.</w:t>
            </w:r>
          </w:p>
        </w:tc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30" w:hRule="atLeast"/>
        </w:trPr>
        <w:tc>
          <w:tcPr>
            <w:tcW w:w="834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rFonts w:ascii="Liberation Serif" w:hAnsi="Liberation Serif" w:eastAsia="Calibri"/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</w:r>
          </w:p>
        </w:tc>
        <w:tc>
          <w:tcPr>
            <w:tcW w:w="476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Место поставки : </w:t>
            </w:r>
            <w:r>
              <w:rPr>
                <w:rFonts w:ascii="Liberation Serif" w:hAnsi="Liberation Serif"/>
                <w:sz w:val="20"/>
                <w:szCs w:val="20"/>
              </w:rPr>
              <w:t>Для филиала «Приморские ЭС»: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692524, РФ, Приморский край, г. Уссурийск,  ул. Резервная, 22А.</w:t>
            </w:r>
          </w:p>
        </w:tc>
        <w:tc>
          <w:tcPr>
            <w:tcW w:w="237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vMerge w:val="continue"/>
            <w:tcBorders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30" w:hRule="atLeast"/>
        </w:trPr>
        <w:tc>
          <w:tcPr>
            <w:tcW w:w="834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rFonts w:ascii="Liberation Serif" w:hAnsi="Liberation Serif" w:eastAsia="Calibri"/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</w:r>
          </w:p>
        </w:tc>
        <w:tc>
          <w:tcPr>
            <w:tcW w:w="476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Место поставки : </w:t>
            </w:r>
            <w:r>
              <w:rPr>
                <w:rFonts w:ascii="Liberation Serif" w:hAnsi="Liberation Serif"/>
                <w:sz w:val="20"/>
                <w:szCs w:val="20"/>
              </w:rPr>
              <w:t>Для филиала «Хабаровские ЭС»:  680009, Хабаровский край, г. Хабаровск, ул. Промышленная, 13.</w:t>
            </w:r>
          </w:p>
        </w:tc>
        <w:tc>
          <w:tcPr>
            <w:tcW w:w="237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vMerge w:val="continue"/>
            <w:tcBorders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5" w:hRule="atLeast"/>
        </w:trPr>
        <w:tc>
          <w:tcPr>
            <w:tcW w:w="834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rFonts w:ascii="Liberation Serif" w:hAnsi="Liberation Serif" w:eastAsia="Calibri"/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</w:r>
          </w:p>
        </w:tc>
        <w:tc>
          <w:tcPr>
            <w:tcW w:w="476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Место поставки : </w:t>
            </w:r>
            <w:r>
              <w:rPr>
                <w:rFonts w:ascii="Liberation Serif" w:hAnsi="Liberation Serif"/>
                <w:sz w:val="20"/>
                <w:szCs w:val="20"/>
              </w:rPr>
              <w:t>Для филиала «ЭС ЕАО»: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color w:val="000000"/>
                <w:spacing w:val="-1"/>
                <w:sz w:val="20"/>
                <w:szCs w:val="20"/>
              </w:rPr>
              <w:t>679011, ЕАО, г. Биробиджан, ул. Черноморская, 6.</w:t>
            </w:r>
          </w:p>
        </w:tc>
        <w:tc>
          <w:tcPr>
            <w:tcW w:w="237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vMerge w:val="continue"/>
            <w:tcBorders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5" w:hRule="atLeast"/>
        </w:trPr>
        <w:tc>
          <w:tcPr>
            <w:tcW w:w="834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rFonts w:ascii="Liberation Serif" w:hAnsi="Liberation Serif" w:eastAsia="Calibri"/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</w:r>
          </w:p>
        </w:tc>
        <w:tc>
          <w:tcPr>
            <w:tcW w:w="476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Место поставки : </w:t>
            </w:r>
            <w:r>
              <w:rPr>
                <w:rFonts w:ascii="Liberation Serif" w:hAnsi="Liberation Serif"/>
                <w:sz w:val="20"/>
                <w:szCs w:val="20"/>
              </w:rPr>
              <w:t>Для филиала «Южно-Якутские ЭС»: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spacing w:val="-1"/>
                <w:kern w:val="0"/>
                <w:sz w:val="20"/>
                <w:szCs w:val="20"/>
                <w:lang w:val="ru-RU" w:eastAsia="ru-RU" w:bidi="ar-SA"/>
              </w:rPr>
              <w:t>678900, г. Алдан, ул. Тарабукина, 60А.</w:t>
            </w:r>
          </w:p>
        </w:tc>
        <w:tc>
          <w:tcPr>
            <w:tcW w:w="237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vMerge w:val="continue"/>
            <w:tcBorders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6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16.2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КТП должна иметь табличку по ГОСТ 12969-67, содержащую следующие данные: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0" w:after="0"/>
              <w:ind w:left="315" w:hanging="315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условное обозначение (индекс) изделия;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0" w:after="0"/>
              <w:ind w:left="315" w:hanging="315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товарный знак;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0" w:after="0"/>
              <w:ind w:left="315" w:hanging="315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заводской номер и (или) дату изготовления;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0" w:after="0"/>
              <w:ind w:left="315" w:hanging="315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наименование изделия (при необходимости);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0" w:after="0"/>
              <w:ind w:left="315" w:hanging="315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напряжение в киловольтах со стороны ВН и НН;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0" w:after="0"/>
              <w:ind w:left="315" w:hanging="315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обозначение стандартов или технических условий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1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16.3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Транспортная маркировка грузов - по ГОСТ 14192-96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16.4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При транспортировке КТП все технологические отверстия и проемы должны быть закрыты транспортными заглушками и защищены от попадания атмосферных осадков. Должна быть исключена возможность открывания дверей и крышек с целью защиты бьющихся и легко снимаемых частей.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Cs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Cs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81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16.5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Все неокрашенные металлические поверхности КТП (винты, таблички, замки, ручки проводов и др.) должны быть подвергнуты консервации по ГОСТ 23216-78.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16.6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Условия хранения по ГОСТ 15150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32" w:leader="none"/>
                <w:tab w:val="left" w:pos="459" w:leader="none"/>
              </w:tabs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8ОЖ3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1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16.7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Условия транспортирования согласно ГОСТ 23216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Средние (С)</w:t>
            </w:r>
          </w:p>
          <w:p>
            <w:pPr>
              <w:pStyle w:val="Normal"/>
              <w:widowControl w:val="false"/>
              <w:ind w:left="72" w:hanging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16.8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Срок сохраняемости, лет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характери-стик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17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эксплуатации, обеспечению и утилизации: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4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17.1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Эксплуатация монтаж оборудования КТП должно соответствовать требованиям Правилам технической эксплуатации электрических сетей, Правилам организации технического обслуживания и ремонта объектов электроэнергетики, Правилам устройств электроустановок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ind w:left="72" w:hanging="0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17.2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Наличие в заводской документации требований по мерам безопасности, перечня составных частей и методов утилизации изделий, представляющих опасность для жизни, здоровью людей и окружающей среды после окончания срока службы КТП.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ind w:left="72" w:hanging="0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Соответствие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31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18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гарантиям, гарантийному и послегарантийному обслуживанию: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4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18.1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Гарантийный срок эксплуатации КТП, МТП, СТП.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Гарантийный срок на поставляемое оборудование — не менее 60 месяцев. Время начала исчисления гарантийного срока – с момента ввода оборудования в эксплуатацию, но не более 72 месяцев с момента поставки, то есть с даты подписания сторонами накладной ТОРГ-12 или УПД.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709" w:leader="none"/>
                <w:tab w:val="left" w:pos="1134" w:leader="none"/>
              </w:tabs>
              <w:spacing w:lineRule="auto" w:line="240" w:before="0" w:after="0"/>
              <w:ind w:left="0" w:right="0" w:hanging="0"/>
              <w:contextualSpacing w:val="false"/>
              <w:jc w:val="both"/>
              <w:rPr/>
            </w:pPr>
            <w:r>
              <w:rPr>
                <w:rStyle w:val="Style19"/>
                <w:rFonts w:ascii="Liberation Serif" w:hAnsi="Liberation Serif"/>
                <w:sz w:val="20"/>
                <w:szCs w:val="20"/>
              </w:rPr>
              <w:t>Гарантия на защиту от коррозии, при отсутствии механических повреждений, не менее 10 лет с момента ввода оборудования в эксплуатацию, но не более 12 лет с даты поставки оборудования.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65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18.2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Возможность заключения договора на постгарантийное обслуживание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7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18.3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Наличие сервисных центров на территории РФ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18.4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Гарантии распространяются на все поставляемое оборудование.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течение гарантийного срока должна быть обеспечена безвозмездная замена или ремонт вышедшего из строя оборудования, включая его доставку туда и обратно. Доставка неисправного оборудования в сервисный центр для проведения ремонта и возвращение исправного, после ремонта, оборудования Поставщик осуществляет за свой счет.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65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19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комплектации  ТП: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3877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19.1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315" w:hanging="315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РУВН;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315" w:hanging="315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- силовой трансформатор;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315" w:hanging="315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РУНН;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315" w:hanging="315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- шинопроводы, предусмотренные конструкцией КТПН;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315" w:hanging="315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- приспособление для подъема и схема автоматических выключателей, если масса последних превышает 30 кг;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315" w:hanging="315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- шкафы учёта, шкафы автоматизации;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315" w:hanging="315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- Цифровые щитовые приборы со сроком поверки не ранние 4 квартала 2024года;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315" w:hanging="315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- монтажные материалы, предусмотренные конструкцией ТП;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325" w:hanging="325"/>
              <w:contextualSpacing/>
              <w:rPr>
                <w:sz w:val="20"/>
                <w:szCs w:val="20"/>
              </w:rPr>
            </w:pP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 xml:space="preserve">- запасные части и принадлежности по ведомости ЗИП 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  <w:sz w:val="20"/>
                <w:szCs w:val="20"/>
              </w:rPr>
              <w:t>согласно комплектации производителя.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0" w:after="60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20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документам, поставляемым вместе с продукцией: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60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20.1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Документация на трансформаторы по ГОСТ 11677-85, экз.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0" w:after="60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 w:eastAsia="Calibri"/>
                <w:i/>
                <w:i/>
                <w:color w:val="A6A6A6"/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 w:eastAsia="Calibri"/>
                <w:i/>
                <w:i/>
                <w:color w:val="A6A6A6"/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20.2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Документация на комплектующую аппаратуру, подвергающуюся наладке и ремонту в процессе эксплуатации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соответствии с техническими условиями на конкретные типы аппаратуры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0" w:after="60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20.3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Схемы электрические принципиальные и схемы электрических соединений, сборочный чертеж КТП, МТП, СТП, экз.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b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20.4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Эксплуатационная документация по ГОСТ  Р 2.601-2019, экз.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  <w:lang w:val="en-US"/>
              </w:rPr>
              <w:t>1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5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20.5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Ведомость ЗИП в комплектации производителя, экз.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81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21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Требования к соблюдению положений нормативной и иной обязательной для поставщика документации: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6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21.1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Во всем неоговоренном КТП и встраиваемое оборудование должны соответствовать требованиям ПУЭ ГОСТ 14695-80, ГОСТ 14693-90, ГОСТ 11920-85, ГОСТ 11677-85, ГОСТ 1516.3-96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209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22</w:t>
            </w:r>
          </w:p>
        </w:tc>
        <w:tc>
          <w:tcPr>
            <w:tcW w:w="8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Требования к экономическим параметрам: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12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22.1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53" w:hRule="atLeast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22.2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Срок службы до среднего (капитального) ремонта, лет, не менее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Указание характеристик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53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b/>
                <w:sz w:val="20"/>
                <w:szCs w:val="20"/>
              </w:rPr>
              <w:t>23</w:t>
            </w:r>
          </w:p>
        </w:tc>
        <w:tc>
          <w:tcPr>
            <w:tcW w:w="81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Дополнительные требования: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53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23.1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kern w:val="2"/>
                <w:sz w:val="20"/>
                <w:szCs w:val="20"/>
              </w:rPr>
              <w:t>Участие в монтаже технического представителя завода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kern w:val="2"/>
                <w:sz w:val="20"/>
                <w:szCs w:val="20"/>
              </w:rPr>
              <w:t>Нет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53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23.2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Участие представителей заказчика в приемо-сдаточных испытаний КТП на заводе-изготовителе.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По согласованию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53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23.3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Участие представителя завода изготовителя (поставщика) в проверке качества и комплектности поставляемой КТП на сладах Заказчика.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случае выявления Заказчиком замечаний к поставленному оборудованию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  <w:tr>
        <w:trPr>
          <w:trHeight w:val="153" w:hRule="atLeast"/>
        </w:trPr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 w:ascii="Liberation Serif" w:hAnsi="Liberation Serif"/>
                <w:sz w:val="20"/>
                <w:szCs w:val="20"/>
              </w:rPr>
              <w:t>23.5</w:t>
            </w:r>
          </w:p>
        </w:tc>
        <w:tc>
          <w:tcPr>
            <w:tcW w:w="476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Standard"/>
              <w:widowControl w:val="false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Происхождение поставляемой продукции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Standard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В соответствии с Постановлением Правительства РФ от 23.12.2024 |№ 1875“О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 установлено ограничение закупок товаров (в том числе поставляемых при</w:t>
            </w:r>
          </w:p>
          <w:p>
            <w:pPr>
              <w:pStyle w:val="Standard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</w:t>
            </w: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color w:val="A6A6A6"/>
                <w:sz w:val="20"/>
                <w:szCs w:val="20"/>
              </w:rPr>
              <w:t>Согласие с требованием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rFonts w:eastAsia="Calibri" w:cs="Liberation Serif" w:ascii="Liberation Serif" w:hAnsi="Liberation Serif"/>
                <w:bCs/>
                <w:i/>
                <w:color w:val="A6A6A6"/>
                <w:sz w:val="20"/>
                <w:szCs w:val="20"/>
                <w:lang w:eastAsia="en-US"/>
              </w:rPr>
              <w:t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 о номере (номерах) реестровой записи (реестровых записей) реестровой записи из реестра российской промышленной продукции или реестра евразийских промышленных товаров, содержащей в том числе: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rFonts w:eastAsia="Calibri" w:cs="Liberation Serif" w:ascii="Liberation Serif" w:hAnsi="Liberation Serif"/>
                <w:bCs/>
                <w:i/>
                <w:color w:val="A6A6A6"/>
                <w:sz w:val="20"/>
                <w:szCs w:val="20"/>
                <w:lang w:eastAsia="en-US"/>
              </w:rPr>
              <w:t>информацию о совокупном количестве баллов за выполнение (освоение) на территории России, ЕАЭС соответствующих операций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/>
                <w:i/>
                <w:i/>
                <w:color w:val="A6A6A6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color w:val="A6A6A6"/>
                <w:sz w:val="20"/>
                <w:szCs w:val="20"/>
              </w:rPr>
            </w:r>
          </w:p>
        </w:tc>
      </w:tr>
    </w:tbl>
    <w:p>
      <w:pPr>
        <w:pStyle w:val="Normal"/>
        <w:spacing w:before="0" w:after="60"/>
        <w:jc w:val="both"/>
        <w:rPr>
          <w:rFonts w:ascii="Liberation Serif" w:hAnsi="Liberation Serif"/>
        </w:rPr>
      </w:pPr>
      <w:r>
        <w:rPr>
          <w:rFonts w:ascii="Liberation Serif" w:hAnsi="Liberation Serif"/>
          <w:i/>
          <w:iCs/>
          <w:sz w:val="24"/>
          <w:szCs w:val="24"/>
        </w:rPr>
        <w:t>Примечание 2: В случае, если какой-либо из указанных в настоящих ТТ ГОСТ или нормативный документ в процессе проведения закупки был отменен в связи с выпуском новой редакции стандарта, то Участнику необходимо применять ГОСТ или нормативный документ, принятый в его развитие.</w:t>
      </w:r>
    </w:p>
    <w:p>
      <w:pPr>
        <w:pStyle w:val="Normal"/>
        <w:spacing w:before="0" w:after="60"/>
        <w:jc w:val="both"/>
        <w:rPr>
          <w:rFonts w:ascii="Liberation Serif" w:hAnsi="Liberation Serif"/>
          <w:i/>
          <w:i/>
          <w:iCs/>
          <w:sz w:val="24"/>
          <w:szCs w:val="24"/>
        </w:rPr>
      </w:pPr>
      <w:r>
        <w:rPr>
          <w:rFonts w:ascii="Liberation Serif" w:hAnsi="Liberation Serif"/>
          <w:i/>
          <w:iCs/>
          <w:sz w:val="24"/>
          <w:szCs w:val="24"/>
        </w:rPr>
      </w:r>
    </w:p>
    <w:p>
      <w:pPr>
        <w:pStyle w:val="Heading1"/>
        <w:tabs>
          <w:tab w:val="clear" w:pos="0"/>
          <w:tab w:val="left" w:pos="61" w:leader="none"/>
          <w:tab w:val="left" w:pos="113" w:leader="none"/>
          <w:tab w:val="left" w:pos="849" w:leader="none"/>
          <w:tab w:val="left" w:pos="1300" w:leader="none"/>
        </w:tabs>
        <w:overflowPunct w:val="true"/>
        <w:ind w:left="0" w:hang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  <w:lang w:val="ru-RU"/>
        </w:rPr>
        <w:t>3. ТРЕБОВАНИЯ К ЗАЯВКЕ: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3.1. Техническое предложение, подготовленное в соответствии с настоящими ТТ и Приложениями №1-33 к ТТ по форме, представленной в документации о закупке. При описании продукции Участник обязан подтвердить соответствие поставляемой продукции требованиям в отношении всех показателей, которые установлены в ТТ и Приложениях 1-33 к ТТ. При этом должны указываться точные и не допускающие двусмысленного толкования показатели;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3.2. В соответствии с Федеральным Законом от 27.12.2002 г. № 184-ФЗ «О техническом регулировании», Постановлением Правительства РФ от 23.12.2021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 в составе заявки предоставить: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а) Копию Декларации о соответствии на «КТП» о соответствии требованиям ГОСТ 14695-80, ГОСТ 1516.3-96 (с приложением протоколов исследований (испытаний), с положительным результатом, проведенных в аккредитованной в установленном порядке испытательной лаборатории (центре), сертификатов системы качества изготовителя, выданные органом по сертификации, аккредитованным в установленном порядке, на основании которых эта декларация принята.)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б) Копию Декларации о соответствии на «силовые трансформаторы» о соответствии требованиям ГОСТ 1516.3-96, ГОСТ 12.2.007.2-75; ГОСТ 12.2.024 – 87, ГОСТ Р 52719-2007 (с приложением протоколов исследований (испытаний), с положительным результатом, проведенных в аккредитованной в установленном порядке испытательной лаборатории (центре), сертификатов системы качества изготовителя, выданные органом по сертификации, аккредитованным в установленном порядке, на основании которых эта декларация принята). 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в) Копию Декларации о соответствии на «КСО» о соответствии требованиям ГОСТ 12.2.007.4-75; ГОСТ 1516.3-96 (с приложением протоколов исследований (испытаний), с положительным результатом, проведенных в аккредитованной в установленном порядке испытательной лаборатории (центре), сертификатов системы качества изготовителя, выданные органом по сертификации, аккредитованным в установленном порядке, на основании которых эта декларация принята).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Декларации о соответствии, должны иметь электронную регистрацию в едином реестре деклараций на сайте https://fsa.gov.ru/ (требование п.6 ст.24 ФЗ-184), статус действующего документа.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3.3. Габаритные и установочные чертежи, чертежи компоновки оборудования (участник разрабатывает и предоставляет самостоятельно);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3.4. Руководство (инструкцию) по эксплуатации на КТП, РУНН (ЩО), РУВН (КСО), силовые трансформаторы (ТМГ);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3.5. Протоколы испытаний, проведенных в аккредитованной испытательной лаборатории, подтверждающих соответствие оборудования требованиям по сейсмостойкости по шкале MSK-64 (СП 14.13330.2018 «Свод правил строительства в сейсмических районах») на трансформаторные подстанции и силовые трансформаторы;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3.6. Копию паспорта изделия на ранее изготовленную продукцию (КТП);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3.7. Схема электрическая принципиальная (участник разрабатывает и предоставляет самостоятельно);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3.8. Сертификат (свидетельство) об утверждении типа средств измерений на трансформаторы тока, в соответствии с Федеральным Законом от 26.06.2008 г. № 102-ФЗ «Об обеспечении единства измерений», применяемые в сфере государственного регулирования, должны иметь действующее «Свидетельство об утверждении типа».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3.9. Отсканированную копию технических условий (полный текст), в соответствии с которыми изготавливаются КТП, РУНН (ЩО), РУВН (КСО), силовые трансформаторы (ТМГ);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3.10. Техническое описание КТП и встроенного оборудования (ячейки 6-10 кВ, панели 0,4 кВ, силовой трансформатор): общая информация, расшифровка условного обозначения, назначение и область применения, описание конструкции, основные параметры и технические характеристики, комплектность поставки.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3.11. Действующий Сертификат соответствия панелей ЩО требованиям Технического регламента Таможенного союза ТР ТС 004/2011 «О безопасности низковольтного оборудования» с приложением протокола испытаний, на основании которого был выдан сертификат.</w:t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76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Heading1"/>
        <w:keepNext w:val="true"/>
        <w:keepLines/>
        <w:widowControl/>
        <w:numPr>
          <w:ilvl w:val="0"/>
          <w:numId w:val="0"/>
        </w:numPr>
        <w:suppressAutoHyphens w:val="true"/>
        <w:bidi w:val="0"/>
        <w:spacing w:before="0" w:after="0"/>
        <w:ind w:left="0" w:right="0" w:hanging="0"/>
        <w:jc w:val="left"/>
        <w:rPr>
          <w:rFonts w:ascii="Liberation Serif" w:hAnsi="Liberation Serif"/>
        </w:rPr>
      </w:pPr>
      <w:r>
        <w:rPr>
          <w:rFonts w:ascii="Liberation Serif" w:hAnsi="Liberation Serif"/>
          <w:iCs/>
          <w:sz w:val="24"/>
          <w:szCs w:val="24"/>
        </w:rPr>
        <w:t>4. ТРЕБОВАНИЯ К ДОКУМЕНТАЦИИ ПО ЦЕНООБРАЗОВАНИЮ НА ЭТАПЕ ЗАКУПКИ</w:t>
      </w:r>
    </w:p>
    <w:p>
      <w:pPr>
        <w:pStyle w:val="Normal"/>
        <w:ind w:left="357" w:hanging="357"/>
        <w:jc w:val="center"/>
        <w:rPr>
          <w:rFonts w:ascii="Liberation Serif" w:hAnsi="Liberation Serif"/>
          <w:iCs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  <w:lang w:val="x-none" w:eastAsia="x-none"/>
        </w:rPr>
        <w:t>4.1. В обоснование стоимости своей заявки Участник предоставляет Коммерческое предложение по форме, приведенной в Документации о закупке.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  <w:lang w:val="x-none" w:eastAsia="x-none"/>
        </w:rPr>
        <w:t>4.2.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участником.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>
          <w:rFonts w:ascii="Liberation Serif" w:hAnsi="Liberation Serif" w:eastAsia="Calibri"/>
          <w:b/>
          <w:iCs/>
          <w:sz w:val="24"/>
          <w:szCs w:val="24"/>
          <w:lang w:val="x-none" w:eastAsia="x-none"/>
        </w:rPr>
      </w:pPr>
      <w:r>
        <w:rPr>
          <w:rFonts w:eastAsia="Calibri" w:ascii="Liberation Serif" w:hAnsi="Liberation Serif"/>
          <w:b/>
          <w:iCs/>
          <w:sz w:val="24"/>
          <w:szCs w:val="24"/>
          <w:lang w:val="x-none" w:eastAsia="x-none"/>
        </w:rPr>
        <w:t>5. В составе заявки необходимо предоставить: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24"/>
          <w:szCs w:val="24"/>
        </w:rPr>
        <w:t>5</w:t>
      </w:r>
      <w:r>
        <w:rPr>
          <w:rFonts w:ascii="Liberation Serif" w:hAnsi="Liberation Serif"/>
          <w:b w:val="false"/>
          <w:i w:val="false"/>
          <w:sz w:val="24"/>
          <w:szCs w:val="24"/>
        </w:rPr>
        <w:t>.1.</w:t>
      </w:r>
      <w:r>
        <w:rPr>
          <w:rFonts w:ascii="Liberation Serif" w:hAnsi="Liberation Serif"/>
          <w:b w:val="false"/>
          <w:i w:val="false"/>
          <w:sz w:val="24"/>
        </w:rPr>
        <w:t xml:space="preserve"> Документы и </w:t>
      </w:r>
      <w:r>
        <w:rPr>
          <w:rFonts w:ascii="Liberation Serif" w:hAnsi="Liberation Serif"/>
          <w:sz w:val="24"/>
        </w:rPr>
        <w:t>информацию, подтверждающие страну происхождения товара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>
      <w:pPr>
        <w:pStyle w:val="Normal"/>
        <w:rPr>
          <w:rFonts w:ascii="Liberation Serif" w:hAnsi="Liberation Serif"/>
          <w:sz w:val="24"/>
          <w:szCs w:val="24"/>
          <w:lang w:val="x-none" w:eastAsia="x-none"/>
        </w:rPr>
      </w:pPr>
      <w:r>
        <w:rPr>
          <w:rFonts w:ascii="Liberation Serif" w:hAnsi="Liberation Serif"/>
          <w:sz w:val="24"/>
          <w:szCs w:val="24"/>
          <w:lang w:val="x-none" w:eastAsia="x-none"/>
        </w:rPr>
      </w:r>
    </w:p>
    <w:p>
      <w:pPr>
        <w:pStyle w:val="Normal"/>
        <w:spacing w:lineRule="auto" w:line="276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sz w:val="24"/>
          <w:szCs w:val="24"/>
          <w:lang w:val="x-none" w:eastAsia="x-none"/>
        </w:rPr>
        <w:t>6. ПРИЛОЖЕНИЕ</w:t>
      </w:r>
    </w:p>
    <w:p>
      <w:pPr>
        <w:pStyle w:val="Normal"/>
        <w:rPr>
          <w:rFonts w:ascii="Liberation Serif" w:hAnsi="Liberation Serif"/>
          <w:sz w:val="24"/>
          <w:szCs w:val="24"/>
          <w:lang w:val="x-none" w:eastAsia="x-none"/>
        </w:rPr>
      </w:pPr>
      <w:r>
        <w:rPr>
          <w:rFonts w:ascii="Liberation Serif" w:hAnsi="Liberation Serif"/>
          <w:sz w:val="24"/>
          <w:szCs w:val="24"/>
          <w:lang w:val="x-none" w:eastAsia="x-none"/>
        </w:rPr>
      </w:r>
    </w:p>
    <w:p>
      <w:pPr>
        <w:pStyle w:val="ListParagraph"/>
        <w:keepNext w:val="true"/>
        <w:keepLines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sz w:val="24"/>
          <w:szCs w:val="24"/>
        </w:rPr>
        <w:t xml:space="preserve">Приложение № 1.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>КМТП-160/6/0,4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 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sz w:val="24"/>
          <w:szCs w:val="24"/>
        </w:rPr>
      </w:pPr>
      <w:r>
        <w:rPr>
          <w:rFonts w:ascii="Liberation Serif" w:hAnsi="Liberation Serif"/>
          <w:bCs/>
          <w:i/>
          <w:iCs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2. </w:t>
      </w:r>
      <w:r>
        <w:rPr>
          <w:rFonts w:cs="Liberation Serif;Times New Roman" w:ascii="Liberation Serif;Times New Roman" w:hAnsi="Liberation Serif;Times New Roman"/>
          <w:bCs/>
          <w:i w:val="false"/>
          <w:iCs w:val="false"/>
          <w:color w:val="000000"/>
          <w:sz w:val="24"/>
          <w:szCs w:val="24"/>
          <w:highlight w:val="white"/>
        </w:rPr>
        <w:t>КТПНТ-В/В-160/6/0,4 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color w:val="000000"/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3.  </w:t>
      </w:r>
      <w:r>
        <w:rPr>
          <w:rFonts w:cs="Liberation Serif;Times New Roman" w:ascii="Liberation Serif;Times New Roman" w:hAnsi="Liberation Serif;Times New Roman"/>
          <w:bCs/>
          <w:i w:val="false"/>
          <w:iCs w:val="false"/>
          <w:color w:val="000000"/>
          <w:sz w:val="24"/>
          <w:szCs w:val="24"/>
          <w:highlight w:val="white"/>
        </w:rPr>
        <w:t>2КТПН-160/10/0,4 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color w:val="000000"/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4.  </w:t>
      </w:r>
      <w:r>
        <w:rPr>
          <w:rFonts w:cs="Liberation Serif;Times New Roman" w:ascii="Liberation Serif;Times New Roman" w:hAnsi="Liberation Serif;Times New Roman"/>
          <w:bCs/>
          <w:i w:val="false"/>
          <w:iCs w:val="false"/>
          <w:color w:val="000000"/>
          <w:sz w:val="24"/>
          <w:szCs w:val="24"/>
          <w:highlight w:val="white"/>
        </w:rPr>
        <w:t>КТПН-250/10/0.4 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color w:val="000000"/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</w:r>
    </w:p>
    <w:p>
      <w:pPr>
        <w:pStyle w:val="ListParagraph"/>
        <w:keepNext w:val="true"/>
        <w:keepLines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sz w:val="24"/>
          <w:szCs w:val="24"/>
        </w:rPr>
        <w:t xml:space="preserve">Приложение № 5.  </w:t>
      </w:r>
      <w:r>
        <w:rPr>
          <w:rFonts w:cs="Liberation Serif;Times New Roman" w:ascii="Liberation Serif;Times New Roman" w:hAnsi="Liberation Serif;Times New Roman"/>
          <w:bCs/>
          <w:i w:val="false"/>
          <w:iCs w:val="false"/>
          <w:color w:val="000000"/>
          <w:sz w:val="24"/>
          <w:szCs w:val="24"/>
          <w:highlight w:val="white"/>
        </w:rPr>
        <w:t>КТПН 630/6/0,4 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sz w:val="24"/>
          <w:szCs w:val="24"/>
        </w:rPr>
      </w:pPr>
      <w:r>
        <w:rPr>
          <w:rFonts w:ascii="Liberation Serif" w:hAnsi="Liberation Serif"/>
          <w:bCs/>
          <w:i/>
          <w:iCs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sz w:val="24"/>
          <w:szCs w:val="24"/>
        </w:rPr>
        <w:t xml:space="preserve">Приложение № 6.  </w:t>
      </w:r>
      <w:r>
        <w:rPr>
          <w:rFonts w:cs="Liberation Serif;Times New Roman" w:ascii="Liberation Serif;Times New Roman" w:hAnsi="Liberation Serif;Times New Roman"/>
          <w:bCs/>
          <w:i w:val="false"/>
          <w:iCs w:val="false"/>
          <w:color w:val="000000"/>
          <w:sz w:val="24"/>
          <w:szCs w:val="24"/>
          <w:highlight w:val="white"/>
        </w:rPr>
        <w:t>КМТП-100/10/0,4 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sz w:val="24"/>
          <w:szCs w:val="24"/>
        </w:rPr>
      </w:pPr>
      <w:r>
        <w:rPr>
          <w:rFonts w:ascii="Liberation Serif" w:hAnsi="Liberation Serif"/>
          <w:bCs/>
          <w:i/>
          <w:iCs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sz w:val="24"/>
          <w:szCs w:val="24"/>
        </w:rPr>
        <w:t xml:space="preserve">Приложение № 7.  </w:t>
      </w:r>
      <w:r>
        <w:rPr>
          <w:rFonts w:cs="Liberation Serif;Times New Roman" w:ascii="Liberation Serif;Times New Roman" w:hAnsi="Liberation Serif;Times New Roman"/>
          <w:bCs/>
          <w:i w:val="false"/>
          <w:iCs w:val="false"/>
          <w:sz w:val="24"/>
          <w:szCs w:val="24"/>
          <w:highlight w:val="white"/>
        </w:rPr>
        <w:t>КМТП-160/10/0,4 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sz w:val="24"/>
          <w:szCs w:val="24"/>
        </w:rPr>
      </w:pPr>
      <w:r>
        <w:rPr>
          <w:rFonts w:ascii="Liberation Serif" w:hAnsi="Liberation Serif"/>
          <w:bCs/>
          <w:i/>
          <w:iCs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sz w:val="24"/>
          <w:szCs w:val="24"/>
        </w:rPr>
        <w:t xml:space="preserve">Приложение № 8.  </w:t>
      </w:r>
      <w:r>
        <w:rPr>
          <w:rFonts w:ascii="Liberation Serif" w:hAnsi="Liberation Serif"/>
          <w:bCs/>
          <w:i/>
          <w:iCs/>
          <w:sz w:val="24"/>
          <w:szCs w:val="24"/>
          <w:highlight w:val="white"/>
        </w:rPr>
        <w:t>КТПН-400/10/0,4 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sz w:val="24"/>
          <w:szCs w:val="24"/>
        </w:rPr>
      </w:pPr>
      <w:r>
        <w:rPr>
          <w:rFonts w:ascii="Liberation Serif" w:hAnsi="Liberation Serif"/>
          <w:bCs/>
          <w:i/>
          <w:iCs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sz w:val="24"/>
          <w:szCs w:val="24"/>
        </w:rPr>
        <w:t xml:space="preserve">Приложение № 9.  </w:t>
      </w:r>
      <w:r>
        <w:rPr>
          <w:rFonts w:ascii="Liberation Serif" w:hAnsi="Liberation Serif"/>
          <w:bCs/>
          <w:i/>
          <w:iCs/>
          <w:sz w:val="24"/>
          <w:szCs w:val="24"/>
          <w:highlight w:val="white"/>
        </w:rPr>
        <w:t>КТПН-250/10/0,4 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10. 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  <w:highlight w:val="white"/>
        </w:rPr>
        <w:t>КТПН 400/10/0,4 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11.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  <w:highlight w:val="white"/>
        </w:rPr>
        <w:t>2КТПН-250/10/0,4 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Приложение № 12. КТПН-160/6/0,4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Приложение № 13. КТПН-160/10/0,4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Приложение № 14. КМТП-100/6/0,4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Приложение № 15. КМТП-100/10/0,4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16.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КМТП-160/6/0,4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17.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КМТП-160/10/0,4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18.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КТПН-400/10/0,4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19.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КТПН-400/6/0,4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20.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КТПН-630/6/0,4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Приложение № 21. СТП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-63/10/0,4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color w:val="000000"/>
        </w:rPr>
      </w:pPr>
      <w:r>
        <w:rPr>
          <w:rFonts w:ascii="Liberation Serif" w:hAnsi="Liberation Serif"/>
          <w:bCs/>
          <w:i/>
          <w:iCs/>
          <w:color w:val="000000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Приложение № 22. СТП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-100/10/0,4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color w:val="000000"/>
        </w:rPr>
      </w:pPr>
      <w:r>
        <w:rPr>
          <w:rFonts w:ascii="Liberation Serif" w:hAnsi="Liberation Serif"/>
          <w:bCs/>
          <w:i/>
          <w:iCs/>
          <w:color w:val="000000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Приложение № 23. СТП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-63/6/0,4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color w:val="000000"/>
        </w:rPr>
      </w:pPr>
      <w:r>
        <w:rPr>
          <w:rFonts w:ascii="Liberation Serif" w:hAnsi="Liberation Serif"/>
          <w:bCs/>
          <w:i/>
          <w:iCs/>
          <w:color w:val="000000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24.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КТПН-250/6/0,4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color w:val="000000"/>
        </w:rPr>
      </w:pPr>
      <w:r>
        <w:rPr>
          <w:rFonts w:ascii="Liberation Serif" w:hAnsi="Liberation Serif"/>
          <w:bCs/>
          <w:i/>
          <w:iCs/>
          <w:color w:val="000000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25.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КТПН-250/6/0,4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color w:val="000000"/>
        </w:rPr>
      </w:pPr>
      <w:r>
        <w:rPr>
          <w:rFonts w:ascii="Liberation Serif" w:hAnsi="Liberation Serif"/>
          <w:bCs/>
          <w:i/>
          <w:iCs/>
          <w:color w:val="000000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26.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КТПН-400/6/0,4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color w:val="000000"/>
        </w:rPr>
      </w:pPr>
      <w:r>
        <w:rPr>
          <w:rFonts w:ascii="Liberation Serif" w:hAnsi="Liberation Serif"/>
          <w:bCs/>
          <w:i/>
          <w:iCs/>
          <w:color w:val="000000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27.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КТПН-400/6/0,4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color w:val="000000"/>
        </w:rPr>
      </w:pPr>
      <w:r>
        <w:rPr>
          <w:rFonts w:ascii="Liberation Serif" w:hAnsi="Liberation Serif"/>
          <w:bCs/>
          <w:i/>
          <w:iCs/>
          <w:color w:val="000000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28.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КТПН-160/6/0,4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rFonts w:ascii="Liberation Serif" w:hAnsi="Liberation Serif"/>
          <w:bCs/>
          <w:i/>
          <w:i/>
          <w:iCs/>
          <w:color w:val="000000"/>
        </w:rPr>
      </w:pPr>
      <w:r>
        <w:rPr>
          <w:rFonts w:ascii="Liberation Serif" w:hAnsi="Liberation Serif"/>
          <w:bCs/>
          <w:i/>
          <w:iCs/>
          <w:color w:val="000000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29.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КТПН-160/6/0,4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30.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КТПН-160/6/0,4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31.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КТПН-250/6/0,4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32.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КТПН-250/6/0,4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кВ;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Приложение № 33. </w:t>
      </w:r>
      <w:r>
        <w:rPr>
          <w:rFonts w:cs="Liberation Serif" w:ascii="Liberation Serif" w:hAnsi="Liberation Serif"/>
          <w:bCs/>
          <w:i/>
          <w:iCs/>
          <w:color w:val="000000"/>
          <w:sz w:val="24"/>
          <w:szCs w:val="24"/>
        </w:rPr>
        <w:t xml:space="preserve">КТПН-250/6/0,4 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>кВ.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 w:val="false"/>
        <w:jc w:val="both"/>
        <w:rPr>
          <w:sz w:val="24"/>
          <w:szCs w:val="24"/>
        </w:rPr>
      </w:pPr>
      <w:r>
        <w:rPr/>
      </w:r>
    </w:p>
    <w:sectPr>
      <w:headerReference w:type="default" r:id="rId2"/>
      <w:type w:val="nextPage"/>
      <w:pgSz w:orient="landscape" w:w="16838" w:h="11906"/>
      <w:pgMar w:left="1222" w:right="872" w:gutter="0" w:header="680" w:top="1134" w:footer="0" w:bottom="567"/>
      <w:pgNumType w:fmt="decimal"/>
      <w:formProt w:val="false"/>
      <w:textDirection w:val="lrTb"/>
      <w:docGrid w:type="default" w:linePitch="381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Verdan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4"/>
      <w:numFmt w:val="decimal"/>
      <w:lvlText w:val="8.%2.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8.4.%3."/>
      <w:lvlJc w:val="left"/>
      <w:pPr>
        <w:tabs>
          <w:tab w:val="num" w:pos="851"/>
        </w:tabs>
        <w:ind w:left="851" w:hanging="851"/>
      </w:pPr>
      <w:rPr>
        <w:sz w:val="24"/>
        <w:i w:val="false"/>
        <w:b w:val="false"/>
        <w:szCs w:val="28"/>
        <w:rFonts w:ascii="Verdana" w:hAnsi="Verdana" w:cs="Verdana"/>
      </w:rPr>
    </w:lvl>
    <w:lvl w:ilvl="3">
      <w:start w:val="1"/>
      <w:numFmt w:val="decimal"/>
      <w:lvlText w:val="%1.%2.%3.%4."/>
      <w:lvlJc w:val="left"/>
      <w:pPr>
        <w:tabs>
          <w:tab w:val="num" w:pos="1844"/>
        </w:tabs>
        <w:ind w:left="1844" w:hanging="567"/>
      </w:pPr>
      <w:rPr/>
    </w:lvl>
    <w:lvl w:ilvl="4">
      <w:start w:val="1"/>
      <w:numFmt w:val="lowerLetter"/>
      <w:lvlText w:val="%5)"/>
      <w:lvlJc w:val="left"/>
      <w:pPr>
        <w:tabs>
          <w:tab w:val="num" w:pos="2448"/>
        </w:tabs>
        <w:ind w:left="244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/>
    </w:lvl>
  </w:abstractNum>
  <w:abstractNum w:abstractNumId="8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9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0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pPr>
      <w:keepNext w:val="true"/>
      <w:tabs>
        <w:tab w:val="clear" w:pos="708"/>
        <w:tab w:val="left" w:pos="0" w:leader="none"/>
        <w:tab w:val="left" w:pos="849" w:leader="none"/>
        <w:tab w:val="left" w:pos="1300" w:leader="none"/>
      </w:tabs>
      <w:ind w:left="454" w:hanging="57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lang w:val="x-none" w:eastAsia="x-none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lang w:val="x-none" w:eastAsia="x-none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lang w:val="x-none" w:eastAsia="x-none"/>
    </w:rPr>
  </w:style>
  <w:style w:type="paragraph" w:styleId="Heading9">
    <w:name w:val="Heading 9"/>
    <w:basedOn w:val="Normal"/>
    <w:next w:val="Normal"/>
    <w:link w:val="9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1" w:customStyle="1">
    <w:name w:val="page number1"/>
    <w:basedOn w:val="DefaultParagraphFont"/>
    <w:qFormat/>
    <w:rPr/>
  </w:style>
  <w:style w:type="character" w:styleId="Hyperlink">
    <w:name w:val="Hyperlink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1" w:customStyle="1">
    <w:name w:val="Strong1"/>
    <w:qFormat/>
    <w:rPr>
      <w:b/>
      <w:bCs/>
    </w:rPr>
  </w:style>
  <w:style w:type="character" w:styleId="6" w:customStyle="1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qFormat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6"/>
    <w:qFormat/>
    <w:rPr>
      <w:sz w:val="28"/>
    </w:rPr>
  </w:style>
  <w:style w:type="character" w:styleId="Style2" w:customStyle="1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qFormat/>
    <w:rPr>
      <w:i/>
      <w:iCs/>
    </w:rPr>
  </w:style>
  <w:style w:type="character" w:styleId="21" w:customStyle="1">
    <w:name w:val="Цитата 2 Знак"/>
    <w:link w:val="Quote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6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34"/>
    <w:qFormat/>
    <w:rPr>
      <w:sz w:val="26"/>
      <w:szCs w:val="26"/>
    </w:rPr>
  </w:style>
  <w:style w:type="character" w:styleId="31" w:customStyle="1">
    <w:name w:val="УРОВЕНЬ_Абзац_тип3 Знак"/>
    <w:link w:val="37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5"/>
    <w:qFormat/>
    <w:rPr>
      <w:b/>
      <w:sz w:val="28"/>
    </w:rPr>
  </w:style>
  <w:style w:type="character" w:styleId="12" w:customStyle="1">
    <w:name w:val="УРОВЕНЬ_1. Знак"/>
    <w:link w:val="110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4" w:customStyle="1">
    <w:name w:val="Заголовок Знак"/>
    <w:qFormat/>
    <w:rPr>
      <w:b/>
      <w:bCs/>
      <w:sz w:val="24"/>
      <w:szCs w:val="24"/>
      <w:lang w:val="ru-RU" w:eastAsia="ru-RU" w:bidi="ar-SA"/>
    </w:rPr>
  </w:style>
  <w:style w:type="character" w:styleId="Pagenumber11" w:customStyle="1">
    <w:name w:val="page number11"/>
    <w:basedOn w:val="DefaultParagraphFont"/>
    <w:qFormat/>
    <w:rPr/>
  </w:style>
  <w:style w:type="character" w:styleId="33" w:customStyle="1">
    <w:name w:val="Основной текст 3 Знак"/>
    <w:qFormat/>
    <w:rPr>
      <w:sz w:val="16"/>
      <w:szCs w:val="16"/>
    </w:rPr>
  </w:style>
  <w:style w:type="character" w:styleId="Style15" w:customStyle="1">
    <w:name w:val="Тема примечания Знак"/>
    <w:qFormat/>
    <w:rPr>
      <w:b/>
      <w:bCs/>
    </w:rPr>
  </w:style>
  <w:style w:type="character" w:styleId="FootnoteReference1" w:customStyle="1">
    <w:name w:val="Footnote Reference1"/>
    <w:qFormat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Doctitleimportant" w:customStyle="1">
    <w:name w:val="doc__title_important"/>
    <w:basedOn w:val="DefaultParagraphFont"/>
    <w:qFormat/>
    <w:rPr/>
  </w:style>
  <w:style w:type="character" w:styleId="EndnoteReference1" w:customStyle="1">
    <w:name w:val="Endnote Reference1"/>
    <w:qFormat/>
    <w:rPr>
      <w:vertAlign w:val="superscript"/>
    </w:rPr>
  </w:style>
  <w:style w:type="character" w:styleId="Footnotereference11" w:customStyle="1">
    <w:name w:val="footnote reference11"/>
    <w:qFormat/>
    <w:rPr>
      <w:vertAlign w:val="superscript"/>
    </w:rPr>
  </w:style>
  <w:style w:type="character" w:styleId="Viewb" w:customStyle="1">
    <w:name w:val="view_b"/>
    <w:qFormat/>
    <w:rPr/>
  </w:style>
  <w:style w:type="character" w:styleId="Style16" w:customStyle="1">
    <w:name w:val="Нижний колонтитул Знак"/>
    <w:qFormat/>
    <w:rPr/>
  </w:style>
  <w:style w:type="character" w:styleId="Strong">
    <w:name w:val="Strong"/>
    <w:qFormat/>
    <w:rPr>
      <w:b/>
      <w:bCs/>
    </w:rPr>
  </w:style>
  <w:style w:type="character" w:styleId="14" w:customStyle="1">
    <w:name w:val="Пункт Знак1"/>
    <w:qFormat/>
    <w:rPr>
      <w:sz w:val="28"/>
      <w:lang w:val="ru-RU" w:bidi="ar-SA"/>
    </w:rPr>
  </w:style>
  <w:style w:type="character" w:styleId="Style17" w:customStyle="1">
    <w:name w:val="Основной текст с отступом Знак"/>
    <w:qFormat/>
    <w:rPr>
      <w:lang w:val="ru-RU" w:bidi="ar-SA"/>
    </w:rPr>
  </w:style>
  <w:style w:type="character" w:styleId="Pagenumber">
    <w:name w:val="page number"/>
    <w:basedOn w:val="DefaultParagraphFont"/>
    <w:qFormat/>
    <w:rPr/>
  </w:style>
  <w:style w:type="character" w:styleId="S0" w:customStyle="1">
    <w:name w:val="s0"/>
    <w:qFormat/>
    <w:rPr>
      <w:rFonts w:ascii="Times New Roman" w:hAnsi="Times New Roman" w:cs="Times New Roman"/>
      <w:b w:val="false"/>
      <w:bCs w:val="false"/>
      <w:i w:val="false"/>
      <w:iCs w:val="false"/>
      <w:strike w:val="false"/>
      <w:dstrike w:val="false"/>
      <w:color w:val="000000"/>
      <w:sz w:val="22"/>
      <w:szCs w:val="22"/>
      <w:u w:val="none"/>
    </w:rPr>
  </w:style>
  <w:style w:type="character" w:styleId="My" w:customStyle="1">
    <w:name w:val="my Знак"/>
    <w:qFormat/>
    <w:rPr>
      <w:b/>
      <w:sz w:val="28"/>
      <w:szCs w:val="28"/>
      <w:lang w:val="ru-RU" w:bidi="ar-SA"/>
    </w:rPr>
  </w:style>
  <w:style w:type="character" w:styleId="WW8Num34z0" w:customStyle="1">
    <w:name w:val="WW8Num34z0"/>
    <w:qFormat/>
    <w:rPr/>
  </w:style>
  <w:style w:type="character" w:styleId="WW8Num33z0" w:customStyle="1">
    <w:name w:val="WW8Num33z0"/>
    <w:qFormat/>
    <w:rPr>
      <w:b w:val="false"/>
      <w:i w:val="false"/>
    </w:rPr>
  </w:style>
  <w:style w:type="character" w:styleId="WW8Num31z2" w:customStyle="1">
    <w:name w:val="WW8Num31z2"/>
    <w:qFormat/>
    <w:rPr>
      <w:rFonts w:ascii="Wingdings" w:hAnsi="Wingdings" w:cs="Wingdings"/>
    </w:rPr>
  </w:style>
  <w:style w:type="character" w:styleId="WW8Num31z1" w:customStyle="1">
    <w:name w:val="WW8Num31z1"/>
    <w:qFormat/>
    <w:rPr>
      <w:rFonts w:ascii="Courier New" w:hAnsi="Courier New" w:cs="Courier New"/>
    </w:rPr>
  </w:style>
  <w:style w:type="character" w:styleId="WW8Num31z0" w:customStyle="1">
    <w:name w:val="WW8Num31z0"/>
    <w:qFormat/>
    <w:rPr>
      <w:rFonts w:ascii="Symbol" w:hAnsi="Symbol" w:cs="Symbol"/>
    </w:rPr>
  </w:style>
  <w:style w:type="character" w:styleId="WW8Num30z2" w:customStyle="1">
    <w:name w:val="WW8Num30z2"/>
    <w:qFormat/>
    <w:rPr>
      <w:rFonts w:ascii="Wingdings" w:hAnsi="Wingdings" w:cs="Wingdings"/>
    </w:rPr>
  </w:style>
  <w:style w:type="character" w:styleId="WW8Num30z1" w:customStyle="1">
    <w:name w:val="WW8Num30z1"/>
    <w:qFormat/>
    <w:rPr>
      <w:rFonts w:ascii="Courier New" w:hAnsi="Courier New" w:cs="Courier New"/>
    </w:rPr>
  </w:style>
  <w:style w:type="character" w:styleId="WW8Num30z0" w:customStyle="1">
    <w:name w:val="WW8Num30z0"/>
    <w:qFormat/>
    <w:rPr>
      <w:rFonts w:ascii="Symbol" w:hAnsi="Symbol" w:cs="Symbol"/>
    </w:rPr>
  </w:style>
  <w:style w:type="character" w:styleId="WW8Num29z0" w:customStyle="1">
    <w:name w:val="WW8Num29z0"/>
    <w:qFormat/>
    <w:rPr/>
  </w:style>
  <w:style w:type="character" w:styleId="WW8Num28z2" w:customStyle="1">
    <w:name w:val="WW8Num28z2"/>
    <w:qFormat/>
    <w:rPr>
      <w:rFonts w:ascii="Wingdings" w:hAnsi="Wingdings" w:cs="Wingdings"/>
    </w:rPr>
  </w:style>
  <w:style w:type="character" w:styleId="WW8Num28z1" w:customStyle="1">
    <w:name w:val="WW8Num28z1"/>
    <w:qFormat/>
    <w:rPr>
      <w:rFonts w:ascii="Courier New" w:hAnsi="Courier New" w:cs="Courier New"/>
    </w:rPr>
  </w:style>
  <w:style w:type="character" w:styleId="WW8Num28z0" w:customStyle="1">
    <w:name w:val="WW8Num28z0"/>
    <w:qFormat/>
    <w:rPr>
      <w:rFonts w:ascii="Symbol" w:hAnsi="Symbol" w:cs="Symbol"/>
    </w:rPr>
  </w:style>
  <w:style w:type="character" w:styleId="WW8Num27z0" w:customStyle="1">
    <w:name w:val="WW8Num27z0"/>
    <w:qFormat/>
    <w:rPr>
      <w:b w:val="false"/>
      <w:i w:val="false"/>
    </w:rPr>
  </w:style>
  <w:style w:type="character" w:styleId="WW8Num26z2" w:customStyle="1">
    <w:name w:val="WW8Num26z2"/>
    <w:qFormat/>
    <w:rPr>
      <w:rFonts w:ascii="Wingdings" w:hAnsi="Wingdings" w:cs="Wingdings"/>
    </w:rPr>
  </w:style>
  <w:style w:type="character" w:styleId="WW8Num26z1" w:customStyle="1">
    <w:name w:val="WW8Num26z1"/>
    <w:qFormat/>
    <w:rPr>
      <w:rFonts w:ascii="Courier New" w:hAnsi="Courier New" w:cs="Courier New"/>
    </w:rPr>
  </w:style>
  <w:style w:type="character" w:styleId="WW8Num26z0" w:customStyle="1">
    <w:name w:val="WW8Num26z0"/>
    <w:qFormat/>
    <w:rPr>
      <w:rFonts w:ascii="Symbol" w:hAnsi="Symbol" w:cs="Symbol"/>
    </w:rPr>
  </w:style>
  <w:style w:type="character" w:styleId="WW8Num25z1" w:customStyle="1">
    <w:name w:val="WW8Num25z1"/>
    <w:qFormat/>
    <w:rPr>
      <w:b w:val="false"/>
      <w:sz w:val="24"/>
      <w:szCs w:val="24"/>
    </w:rPr>
  </w:style>
  <w:style w:type="character" w:styleId="WW8Num25z0" w:customStyle="1">
    <w:name w:val="WW8Num25z0"/>
    <w:qFormat/>
    <w:rPr/>
  </w:style>
  <w:style w:type="character" w:styleId="WW8Num24z3" w:customStyle="1">
    <w:name w:val="WW8Num24z3"/>
    <w:qFormat/>
    <w:rPr>
      <w:rFonts w:ascii="Symbol" w:hAnsi="Symbol" w:cs="Symbol"/>
    </w:rPr>
  </w:style>
  <w:style w:type="character" w:styleId="WW8Num24z2" w:customStyle="1">
    <w:name w:val="WW8Num24z2"/>
    <w:qFormat/>
    <w:rPr>
      <w:rFonts w:ascii="Wingdings" w:hAnsi="Wingdings" w:cs="Wingdings"/>
    </w:rPr>
  </w:style>
  <w:style w:type="character" w:styleId="WW8Num24z1" w:customStyle="1">
    <w:name w:val="WW8Num24z1"/>
    <w:qFormat/>
    <w:rPr>
      <w:rFonts w:ascii="Courier New" w:hAnsi="Courier New" w:cs="Courier New"/>
    </w:rPr>
  </w:style>
  <w:style w:type="character" w:styleId="WW8Num24z0" w:customStyle="1">
    <w:name w:val="WW8Num24z0"/>
    <w:qFormat/>
    <w:rPr>
      <w:rFonts w:ascii="Times New Roman" w:hAnsi="Times New Roman" w:eastAsia="Times New Roman" w:cs="Times New Roman"/>
    </w:rPr>
  </w:style>
  <w:style w:type="character" w:styleId="WW8Num23z0" w:customStyle="1">
    <w:name w:val="WW8Num23z0"/>
    <w:qFormat/>
    <w:rPr/>
  </w:style>
  <w:style w:type="character" w:styleId="WW8Num22z0" w:customStyle="1">
    <w:name w:val="WW8Num22z0"/>
    <w:qFormat/>
    <w:rPr/>
  </w:style>
  <w:style w:type="character" w:styleId="WW8Num21z2" w:customStyle="1">
    <w:name w:val="WW8Num21z2"/>
    <w:qFormat/>
    <w:rPr>
      <w:rFonts w:ascii="Wingdings" w:hAnsi="Wingdings" w:cs="Wingdings"/>
    </w:rPr>
  </w:style>
  <w:style w:type="character" w:styleId="WW8Num21z1" w:customStyle="1">
    <w:name w:val="WW8Num21z1"/>
    <w:qFormat/>
    <w:rPr>
      <w:rFonts w:ascii="Courier New" w:hAnsi="Courier New" w:cs="Courier New"/>
    </w:rPr>
  </w:style>
  <w:style w:type="character" w:styleId="WW8Num21z0" w:customStyle="1">
    <w:name w:val="WW8Num21z0"/>
    <w:qFormat/>
    <w:rPr>
      <w:rFonts w:ascii="Symbol" w:hAnsi="Symbol" w:cs="Symbol"/>
    </w:rPr>
  </w:style>
  <w:style w:type="character" w:styleId="WW8Num20z2" w:customStyle="1">
    <w:name w:val="WW8Num20z2"/>
    <w:qFormat/>
    <w:rPr>
      <w:rFonts w:ascii="Verdana" w:hAnsi="Verdana" w:cs="Verdana"/>
      <w:b w:val="false"/>
      <w:i w:val="false"/>
      <w:sz w:val="24"/>
      <w:szCs w:val="28"/>
    </w:rPr>
  </w:style>
  <w:style w:type="character" w:styleId="WW8Num19z0" w:customStyle="1">
    <w:name w:val="WW8Num19z0"/>
    <w:qFormat/>
    <w:rPr>
      <w:b w:val="false"/>
      <w:i w:val="false"/>
    </w:rPr>
  </w:style>
  <w:style w:type="character" w:styleId="WW8Num18z2" w:customStyle="1">
    <w:name w:val="WW8Num18z2"/>
    <w:qFormat/>
    <w:rPr>
      <w:rFonts w:ascii="Wingdings" w:hAnsi="Wingdings" w:cs="Wingdings"/>
    </w:rPr>
  </w:style>
  <w:style w:type="character" w:styleId="WW8Num18z1" w:customStyle="1">
    <w:name w:val="WW8Num18z1"/>
    <w:qFormat/>
    <w:rPr>
      <w:rFonts w:ascii="Courier New" w:hAnsi="Courier New" w:cs="Courier New"/>
    </w:rPr>
  </w:style>
  <w:style w:type="character" w:styleId="WW8Num18z0" w:customStyle="1">
    <w:name w:val="WW8Num18z0"/>
    <w:qFormat/>
    <w:rPr>
      <w:rFonts w:ascii="Symbol" w:hAnsi="Symbol" w:cs="Symbol"/>
    </w:rPr>
  </w:style>
  <w:style w:type="character" w:styleId="WW8Num17z2" w:customStyle="1">
    <w:name w:val="WW8Num17z2"/>
    <w:qFormat/>
    <w:rPr>
      <w:rFonts w:ascii="Wingdings" w:hAnsi="Wingdings" w:cs="Wingdings"/>
    </w:rPr>
  </w:style>
  <w:style w:type="character" w:styleId="WW8Num17z1" w:customStyle="1">
    <w:name w:val="WW8Num17z1"/>
    <w:qFormat/>
    <w:rPr>
      <w:rFonts w:ascii="Courier New" w:hAnsi="Courier New" w:cs="Courier New"/>
    </w:rPr>
  </w:style>
  <w:style w:type="character" w:styleId="WW8Num17z0" w:customStyle="1">
    <w:name w:val="WW8Num17z0"/>
    <w:qFormat/>
    <w:rPr>
      <w:rFonts w:ascii="Symbol" w:hAnsi="Symbol" w:cs="Symbol"/>
    </w:rPr>
  </w:style>
  <w:style w:type="character" w:styleId="WW8Num16z1" w:customStyle="1">
    <w:name w:val="WW8Num16z1"/>
    <w:qFormat/>
    <w:rPr/>
  </w:style>
  <w:style w:type="character" w:styleId="WW8Num16z0" w:customStyle="1">
    <w:name w:val="WW8Num16z0"/>
    <w:qFormat/>
    <w:rPr>
      <w:b/>
      <w:i w:val="false"/>
    </w:rPr>
  </w:style>
  <w:style w:type="character" w:styleId="WW8Num15z2" w:customStyle="1">
    <w:name w:val="WW8Num15z2"/>
    <w:qFormat/>
    <w:rPr>
      <w:rFonts w:ascii="Wingdings" w:hAnsi="Wingdings" w:cs="Wingdings"/>
    </w:rPr>
  </w:style>
  <w:style w:type="character" w:styleId="WW8Num15z1" w:customStyle="1">
    <w:name w:val="WW8Num15z1"/>
    <w:qFormat/>
    <w:rPr>
      <w:rFonts w:ascii="Courier New" w:hAnsi="Courier New" w:cs="Courier New"/>
    </w:rPr>
  </w:style>
  <w:style w:type="character" w:styleId="WW8Num15z0" w:customStyle="1">
    <w:name w:val="WW8Num15z0"/>
    <w:qFormat/>
    <w:rPr>
      <w:rFonts w:ascii="Symbol" w:hAnsi="Symbol" w:cs="Symbol"/>
    </w:rPr>
  </w:style>
  <w:style w:type="character" w:styleId="WW8Num14z0" w:customStyle="1">
    <w:name w:val="WW8Num14z0"/>
    <w:qFormat/>
    <w:rPr>
      <w:u w:val="none"/>
    </w:rPr>
  </w:style>
  <w:style w:type="character" w:styleId="WW8Num13z0" w:customStyle="1">
    <w:name w:val="WW8Num13z0"/>
    <w:qFormat/>
    <w:rPr/>
  </w:style>
  <w:style w:type="character" w:styleId="WW8Num12z2" w:customStyle="1">
    <w:name w:val="WW8Num12z2"/>
    <w:qFormat/>
    <w:rPr>
      <w:rFonts w:ascii="Wingdings" w:hAnsi="Wingdings" w:cs="Wingdings"/>
    </w:rPr>
  </w:style>
  <w:style w:type="character" w:styleId="WW8Num12z1" w:customStyle="1">
    <w:name w:val="WW8Num12z1"/>
    <w:qFormat/>
    <w:rPr>
      <w:rFonts w:ascii="Courier New" w:hAnsi="Courier New" w:cs="Courier New"/>
    </w:rPr>
  </w:style>
  <w:style w:type="character" w:styleId="WW8Num12z0" w:customStyle="1">
    <w:name w:val="WW8Num12z0"/>
    <w:qFormat/>
    <w:rPr>
      <w:rFonts w:ascii="Symbol" w:hAnsi="Symbol" w:cs="Symbol"/>
    </w:rPr>
  </w:style>
  <w:style w:type="character" w:styleId="WW8Num11z0" w:customStyle="1">
    <w:name w:val="WW8Num11z0"/>
    <w:qFormat/>
    <w:rPr/>
  </w:style>
  <w:style w:type="character" w:styleId="WW8Num10z2" w:customStyle="1">
    <w:name w:val="WW8Num10z2"/>
    <w:qFormat/>
    <w:rPr>
      <w:rFonts w:ascii="Wingdings" w:hAnsi="Wingdings" w:cs="Wingdings"/>
    </w:rPr>
  </w:style>
  <w:style w:type="character" w:styleId="WW8Num10z1" w:customStyle="1">
    <w:name w:val="WW8Num10z1"/>
    <w:qFormat/>
    <w:rPr>
      <w:rFonts w:ascii="Courier New" w:hAnsi="Courier New" w:cs="Courier New"/>
    </w:rPr>
  </w:style>
  <w:style w:type="character" w:styleId="WW8Num3z2" w:customStyle="1">
    <w:name w:val="WW8Num3z2"/>
    <w:qFormat/>
    <w:rPr>
      <w:rFonts w:ascii="Wingdings" w:hAnsi="Wingdings" w:cs="Wingdings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2z1" w:customStyle="1">
    <w:name w:val="WW8Num2z1"/>
    <w:qFormat/>
    <w:rPr>
      <w:b w:val="false"/>
    </w:rPr>
  </w:style>
  <w:style w:type="character" w:styleId="WW8Num10z0" w:customStyle="1">
    <w:name w:val="WW8Num10z0"/>
    <w:qFormat/>
    <w:rPr/>
  </w:style>
  <w:style w:type="character" w:styleId="WW8Num9z0" w:customStyle="1">
    <w:name w:val="WW8Num9z0"/>
    <w:qFormat/>
    <w:rPr>
      <w:rFonts w:ascii="Symbol" w:hAnsi="Symbol" w:cs="Symbol"/>
    </w:rPr>
  </w:style>
  <w:style w:type="character" w:styleId="WW8Num8z0" w:customStyle="1">
    <w:name w:val="WW8Num8z0"/>
    <w:qFormat/>
    <w:rPr>
      <w:rFonts w:ascii="Symbol" w:hAnsi="Symbol" w:cs="Symbol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6z0" w:customStyle="1">
    <w:name w:val="WW8Num6z0"/>
    <w:qFormat/>
    <w:rPr>
      <w:rFonts w:ascii="Symbol" w:hAnsi="Symbol" w:cs="Symbol"/>
    </w:rPr>
  </w:style>
  <w:style w:type="character" w:styleId="WW8Num5z8" w:customStyle="1">
    <w:name w:val="WW8Num5z8"/>
    <w:qFormat/>
    <w:rPr/>
  </w:style>
  <w:style w:type="character" w:styleId="WW8Num5z7" w:customStyle="1">
    <w:name w:val="WW8Num5z7"/>
    <w:qFormat/>
    <w:rPr/>
  </w:style>
  <w:style w:type="character" w:styleId="WW8Num5z6" w:customStyle="1">
    <w:name w:val="WW8Num5z6"/>
    <w:qFormat/>
    <w:rPr/>
  </w:style>
  <w:style w:type="character" w:styleId="WW8Num5z5" w:customStyle="1">
    <w:name w:val="WW8Num5z5"/>
    <w:qFormat/>
    <w:rPr/>
  </w:style>
  <w:style w:type="character" w:styleId="WW8Num5z4" w:customStyle="1">
    <w:name w:val="WW8Num5z4"/>
    <w:qFormat/>
    <w:rPr/>
  </w:style>
  <w:style w:type="character" w:styleId="WW8Num5z3" w:customStyle="1">
    <w:name w:val="WW8Num5z3"/>
    <w:qFormat/>
    <w:rPr/>
  </w:style>
  <w:style w:type="character" w:styleId="WW8Num5z2" w:customStyle="1">
    <w:name w:val="WW8Num5z2"/>
    <w:qFormat/>
    <w:rPr>
      <w:rFonts w:ascii="Verdana" w:hAnsi="Verdana" w:cs="Verdana"/>
      <w:b w:val="false"/>
      <w:i w:val="false"/>
      <w:sz w:val="24"/>
      <w:szCs w:val="28"/>
    </w:rPr>
  </w:style>
  <w:style w:type="character" w:styleId="WW8Num5z1" w:customStyle="1">
    <w:name w:val="WW8Num5z1"/>
    <w:qFormat/>
    <w:rPr/>
  </w:style>
  <w:style w:type="character" w:styleId="WW8Num5z0" w:customStyle="1">
    <w:name w:val="WW8Num5z0"/>
    <w:qFormat/>
    <w:rPr/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3z0" w:customStyle="1">
    <w:name w:val="WW8Num3z0"/>
    <w:qFormat/>
    <w:rPr>
      <w:rFonts w:ascii="Symbol" w:hAnsi="Symbol" w:cs="Symbol"/>
      <w:sz w:val="24"/>
      <w:szCs w:val="24"/>
      <w:shd w:fill="FFFF00" w:val="clear"/>
      <w:lang w:eastAsia="ru-RU"/>
    </w:rPr>
  </w:style>
  <w:style w:type="character" w:styleId="WW8Num2z0" w:customStyle="1">
    <w:name w:val="WW8Num2z0"/>
    <w:qFormat/>
    <w:rPr>
      <w:rFonts w:ascii="Symbol" w:hAnsi="Symbol" w:cs="Symbol"/>
    </w:rPr>
  </w:style>
  <w:style w:type="character" w:styleId="WW8Num1z8" w:customStyle="1">
    <w:name w:val="WW8Num1z8"/>
    <w:qFormat/>
    <w:rPr/>
  </w:style>
  <w:style w:type="character" w:styleId="WW8Num1z7" w:customStyle="1">
    <w:name w:val="WW8Num1z7"/>
    <w:qFormat/>
    <w:rPr/>
  </w:style>
  <w:style w:type="character" w:styleId="WW8Num1z6" w:customStyle="1">
    <w:name w:val="WW8Num1z6"/>
    <w:qFormat/>
    <w:rPr/>
  </w:style>
  <w:style w:type="character" w:styleId="WW8Num1z5" w:customStyle="1">
    <w:name w:val="WW8Num1z5"/>
    <w:qFormat/>
    <w:rPr/>
  </w:style>
  <w:style w:type="character" w:styleId="WW8Num1z4" w:customStyle="1">
    <w:name w:val="WW8Num1z4"/>
    <w:qFormat/>
    <w:rPr/>
  </w:style>
  <w:style w:type="character" w:styleId="WW8Num1z3" w:customStyle="1">
    <w:name w:val="WW8Num1z3"/>
    <w:qFormat/>
    <w:rPr/>
  </w:style>
  <w:style w:type="character" w:styleId="WW8Num1z2" w:customStyle="1">
    <w:name w:val="WW8Num1z2"/>
    <w:qFormat/>
    <w:rPr/>
  </w:style>
  <w:style w:type="character" w:styleId="WW8Num1z1" w:customStyle="1">
    <w:name w:val="WW8Num1z1"/>
    <w:qFormat/>
    <w:rPr/>
  </w:style>
  <w:style w:type="character" w:styleId="WW8Num1z0" w:customStyle="1">
    <w:name w:val="WW8Num1z0"/>
    <w:qFormat/>
    <w:rPr/>
  </w:style>
  <w:style w:type="character" w:styleId="23" w:customStyle="1">
    <w:name w:val="Знак примечания2"/>
    <w:qFormat/>
    <w:rPr>
      <w:sz w:val="16"/>
      <w:szCs w:val="16"/>
    </w:rPr>
  </w:style>
  <w:style w:type="character" w:styleId="Style18" w:customStyle="1">
    <w:name w:val="Символ нумерации"/>
    <w:qFormat/>
    <w:rPr/>
  </w:style>
  <w:style w:type="character" w:styleId="Style19">
    <w:name w:val="Основной шрифт абзаца"/>
    <w:qFormat/>
    <w:rPr/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jc w:val="center"/>
    </w:pPr>
    <w:rPr>
      <w:b/>
      <w:bCs/>
      <w:sz w:val="24"/>
      <w:szCs w:val="24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Style22" w:customStyle="1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23" w:customStyle="1">
    <w:name w:val="Раздел положения"/>
    <w:basedOn w:val="Normal"/>
    <w:autoRedefine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4" w:customStyle="1">
    <w:name w:val="Подраздел раздела положения"/>
    <w:basedOn w:val="Normal"/>
    <w:autoRedefine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/>
  </w:style>
  <w:style w:type="paragraph" w:styleId="15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4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Style1"/>
    <w:qFormat/>
    <w:pPr>
      <w:jc w:val="center"/>
    </w:pPr>
    <w:rPr>
      <w:lang w:val="x-none" w:eastAsia="x-none"/>
    </w:rPr>
  </w:style>
  <w:style w:type="paragraph" w:styleId="Style25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</w:rPr>
  </w:style>
  <w:style w:type="paragraph" w:styleId="Style26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lang w:val="x-none" w:eastAsia="x-none"/>
    </w:rPr>
  </w:style>
  <w:style w:type="paragraph" w:styleId="25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</w:rPr>
  </w:style>
  <w:style w:type="paragraph" w:styleId="TOC1">
    <w:name w:val="TOC 1"/>
    <w:basedOn w:val="Normal"/>
    <w:next w:val="Normal"/>
    <w:autoRedefine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pPr>
      <w:ind w:left="280" w:hanging="0"/>
    </w:pPr>
    <w:rPr>
      <w:rFonts w:cs="Calibri"/>
    </w:rPr>
  </w:style>
  <w:style w:type="paragraph" w:styleId="Style27" w:customStyle="1">
    <w:name w:val="Раздел регламента"/>
    <w:basedOn w:val="Normal"/>
    <w:qFormat/>
    <w:pPr/>
    <w:rPr/>
  </w:style>
  <w:style w:type="paragraph" w:styleId="Style28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autoRedefine/>
    <w:pPr>
      <w:spacing w:before="240" w:after="0"/>
    </w:pPr>
    <w:rPr>
      <w:rFonts w:cs="Calibri"/>
      <w:b/>
      <w:b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/>
  </w:style>
  <w:style w:type="paragraph" w:styleId="Annotationsubject">
    <w:name w:val="annotation subject"/>
    <w:basedOn w:val="Annotationtext"/>
    <w:next w:val="Annotationtext"/>
    <w:qFormat/>
    <w:pPr>
      <w:spacing w:lineRule="auto" w:line="360"/>
      <w:ind w:firstLine="567"/>
      <w:jc w:val="both"/>
    </w:pPr>
    <w:rPr>
      <w:b/>
      <w:bCs/>
    </w:rPr>
  </w:style>
  <w:style w:type="paragraph" w:styleId="17" w:customStyle="1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pPr>
      <w:ind w:left="1960" w:hanging="0"/>
    </w:pPr>
    <w:rPr>
      <w:rFonts w:ascii="Calibri" w:hAnsi="Calibri" w:cs="Calibri"/>
    </w:rPr>
  </w:style>
  <w:style w:type="paragraph" w:styleId="TOC5">
    <w:name w:val="TOC 5"/>
    <w:basedOn w:val="Normal"/>
    <w:next w:val="Normal"/>
    <w:autoRedefine/>
    <w:pPr>
      <w:ind w:left="840" w:hanging="0"/>
    </w:pPr>
    <w:rPr>
      <w:rFonts w:ascii="Calibri" w:hAnsi="Calibri" w:cs="Calibri"/>
    </w:rPr>
  </w:style>
  <w:style w:type="paragraph" w:styleId="TOC4">
    <w:name w:val="TOC 4"/>
    <w:basedOn w:val="Normal"/>
    <w:next w:val="Normal"/>
    <w:autoRedefine/>
    <w:pPr>
      <w:ind w:left="560" w:hanging="0"/>
    </w:pPr>
    <w:rPr>
      <w:rFonts w:cs="Calibri"/>
    </w:rPr>
  </w:style>
  <w:style w:type="paragraph" w:styleId="26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9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qFormat/>
    <w:pPr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</w:rPr>
  </w:style>
  <w:style w:type="paragraph" w:styleId="Quote">
    <w:name w:val="Quote"/>
    <w:basedOn w:val="Normal"/>
    <w:next w:val="Normal"/>
    <w:link w:val="21"/>
    <w:qFormat/>
    <w:pPr/>
    <w:rPr>
      <w:rFonts w:ascii="Calibri" w:hAnsi="Calibri" w:eastAsia="Calibri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Style3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lang w:val="x-none" w:eastAsia="x-none"/>
    </w:rPr>
  </w:style>
  <w:style w:type="paragraph" w:styleId="IndexHeading">
    <w:name w:val="Index Heading"/>
    <w:basedOn w:val="Style20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qFormat/>
    <w:pPr/>
    <w:rPr>
      <w:rFonts w:eastAsia="Calibri"/>
      <w:sz w:val="24"/>
      <w:szCs w:val="24"/>
      <w:lang w:val="x-none" w:eastAsia="x-none"/>
    </w:rPr>
  </w:style>
  <w:style w:type="paragraph" w:styleId="Style30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lang w:val="en-US" w:eastAsia="en-US"/>
    </w:rPr>
  </w:style>
  <w:style w:type="paragraph" w:styleId="35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</w:rPr>
  </w:style>
  <w:style w:type="paragraph" w:styleId="ListBullet4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</w:rPr>
  </w:style>
  <w:style w:type="paragraph" w:styleId="27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</w:rPr>
  </w:style>
  <w:style w:type="paragraph" w:styleId="Revision">
    <w:name w:val="Revision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overflowPunct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6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1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</w:rPr>
  </w:style>
  <w:style w:type="paragraph" w:styleId="18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2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3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4" w:customStyle="1">
    <w:name w:val="Подподпункт"/>
    <w:basedOn w:val="Style26"/>
    <w:link w:val="Style9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5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8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7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6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9" w:customStyle="1">
    <w:name w:val="Стиль Заголовок 1 + по ширине"/>
    <w:basedOn w:val="Heading1"/>
    <w:qFormat/>
    <w:pPr>
      <w:keepLines/>
      <w:tabs>
        <w:tab w:val="clear" w:pos="0"/>
        <w:tab w:val="clear" w:pos="849"/>
        <w:tab w:val="clear" w:pos="130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/>
  </w:style>
  <w:style w:type="paragraph" w:styleId="29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lang w:eastAsia="x-none"/>
    </w:rPr>
  </w:style>
  <w:style w:type="paragraph" w:styleId="Style37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0" w:after="150"/>
    </w:pPr>
    <w:rPr>
      <w:sz w:val="24"/>
      <w:szCs w:val="24"/>
    </w:rPr>
  </w:style>
  <w:style w:type="paragraph" w:styleId="110" w:customStyle="1">
    <w:name w:val="УРОВЕНЬ_1."/>
    <w:basedOn w:val="ListParagraph"/>
    <w:link w:val="12"/>
    <w:qFormat/>
    <w:pPr>
      <w:keepNext w:val="true"/>
      <w:keepLines/>
      <w:spacing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pPr>
      <w:ind w:left="1120" w:hanging="0"/>
    </w:pPr>
    <w:rPr>
      <w:rFonts w:ascii="Calibri" w:hAnsi="Calibri" w:cs="Calibri"/>
    </w:rPr>
  </w:style>
  <w:style w:type="paragraph" w:styleId="TOC7">
    <w:name w:val="TOC 7"/>
    <w:basedOn w:val="Normal"/>
    <w:next w:val="Normal"/>
    <w:autoRedefine/>
    <w:pPr>
      <w:ind w:left="1400" w:hanging="0"/>
    </w:pPr>
    <w:rPr>
      <w:rFonts w:ascii="Calibri" w:hAnsi="Calibri" w:cs="Calibri"/>
    </w:rPr>
  </w:style>
  <w:style w:type="paragraph" w:styleId="TOC8">
    <w:name w:val="TOC 8"/>
    <w:basedOn w:val="Normal"/>
    <w:next w:val="Normal"/>
    <w:autoRedefine/>
    <w:pPr>
      <w:ind w:left="1680" w:hanging="0"/>
    </w:pPr>
    <w:rPr>
      <w:rFonts w:ascii="Calibri" w:hAnsi="Calibri" w:cs="Calibri"/>
    </w:rPr>
  </w:style>
  <w:style w:type="paragraph" w:styleId="Style38" w:customStyle="1">
    <w:name w:val="Пункт б/н"/>
    <w:basedOn w:val="Normal"/>
    <w:qFormat/>
    <w:pPr>
      <w:tabs>
        <w:tab w:val="clear" w:pos="708"/>
        <w:tab w:val="left" w:pos="1134" w:leader="none"/>
      </w:tabs>
      <w:spacing w:lineRule="auto" w:line="360"/>
      <w:ind w:firstLine="567"/>
      <w:jc w:val="both"/>
    </w:pPr>
    <w:rPr/>
  </w:style>
  <w:style w:type="paragraph" w:styleId="Style39" w:customStyle="1">
    <w:name w:val="Содержимое врезки"/>
    <w:basedOn w:val="Normal"/>
    <w:qFormat/>
    <w:pPr/>
    <w:rPr/>
  </w:style>
  <w:style w:type="paragraph" w:styleId="Style40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41" w:customStyle="1">
    <w:name w:val="Заголовок таблицы"/>
    <w:basedOn w:val="Style40"/>
    <w:qFormat/>
    <w:pPr>
      <w:jc w:val="center"/>
    </w:pPr>
    <w:rPr>
      <w:b/>
      <w:bCs/>
    </w:rPr>
  </w:style>
  <w:style w:type="paragraph" w:styleId="Caption2" w:customStyle="1">
    <w:name w:val="caption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11" w:customStyle="1">
    <w:name w:val="index heading11"/>
    <w:basedOn w:val="Normal"/>
    <w:qFormat/>
    <w:pPr>
      <w:suppressLineNumbers/>
    </w:pPr>
    <w:rPr>
      <w:rFonts w:cs="Lucida Sans"/>
    </w:rPr>
  </w:style>
  <w:style w:type="paragraph" w:styleId="Style42" w:customStyle="1">
    <w:name w:val="Таблицы (моноширинный)"/>
    <w:basedOn w:val="Normal"/>
    <w:qFormat/>
    <w:pPr>
      <w:jc w:val="both"/>
    </w:pPr>
    <w:rPr>
      <w:rFonts w:ascii="Courier New" w:hAnsi="Courier New" w:cs="Courier New"/>
    </w:rPr>
  </w:style>
  <w:style w:type="paragraph" w:styleId="Style43" w:customStyle="1">
    <w:name w:val="Подпункт договора"/>
    <w:basedOn w:val="Normal"/>
    <w:qFormat/>
    <w:pPr>
      <w:tabs>
        <w:tab w:val="clear" w:pos="708"/>
        <w:tab w:val="left" w:pos="360" w:leader="none"/>
      </w:tabs>
      <w:jc w:val="both"/>
    </w:pPr>
    <w:rPr>
      <w:rFonts w:ascii="Arial" w:hAnsi="Arial" w:cs="Arial"/>
    </w:rPr>
  </w:style>
  <w:style w:type="paragraph" w:styleId="ConsNormal" w:customStyle="1">
    <w:name w:val="ConsNormal"/>
    <w:qFormat/>
    <w:pPr>
      <w:widowControl/>
      <w:suppressAutoHyphens w:val="true"/>
      <w:overflowPunct w:val="true"/>
      <w:bidi w:val="0"/>
      <w:spacing w:before="0" w:after="0"/>
      <w:ind w:right="19772" w:firstLine="720"/>
      <w:jc w:val="left"/>
    </w:pPr>
    <w:rPr>
      <w:rFonts w:ascii="Arial" w:hAnsi="Arial" w:eastAsia="WenQuanYi Zen Hei Sharp" w:cs="Lohit Devanagari"/>
      <w:color w:val="auto"/>
      <w:kern w:val="0"/>
      <w:sz w:val="32"/>
      <w:szCs w:val="24"/>
      <w:lang w:val="ru-RU" w:eastAsia="en-US" w:bidi="hi-IN"/>
    </w:rPr>
  </w:style>
  <w:style w:type="paragraph" w:styleId="Footnotetext1" w:customStyle="1">
    <w:name w:val="footnote text1"/>
    <w:basedOn w:val="Normal"/>
    <w:qFormat/>
    <w:pPr/>
    <w:rPr/>
  </w:style>
  <w:style w:type="paragraph" w:styleId="ListBullet3">
    <w:name w:val="List Bullet 3"/>
    <w:basedOn w:val="Normal"/>
    <w:qFormat/>
    <w:pPr>
      <w:tabs>
        <w:tab w:val="clear" w:pos="708"/>
        <w:tab w:val="left" w:pos="1418" w:leader="none"/>
      </w:tabs>
      <w:spacing w:lineRule="auto" w:line="360" w:before="120" w:after="0"/>
      <w:ind w:firstLine="720"/>
      <w:jc w:val="both"/>
    </w:pPr>
    <w:rPr>
      <w:rFonts w:eastAsia="Calibri"/>
      <w:i/>
      <w:iCs/>
      <w:sz w:val="24"/>
      <w:szCs w:val="24"/>
    </w:rPr>
  </w:style>
  <w:style w:type="paragraph" w:styleId="-1" w:customStyle="1">
    <w:name w:val="Контракт-пункт"/>
    <w:basedOn w:val="Normal"/>
    <w:qFormat/>
    <w:pPr>
      <w:tabs>
        <w:tab w:val="clear" w:pos="708"/>
        <w:tab w:val="left" w:pos="851" w:leader="none"/>
      </w:tabs>
      <w:spacing w:lineRule="auto" w:line="360"/>
      <w:ind w:left="851" w:hanging="851"/>
      <w:jc w:val="both"/>
    </w:pPr>
    <w:rPr>
      <w:rFonts w:eastAsia="Calibri"/>
      <w:sz w:val="28"/>
      <w:szCs w:val="28"/>
    </w:rPr>
  </w:style>
  <w:style w:type="paragraph" w:styleId="DocumentMap">
    <w:name w:val="Document Map"/>
    <w:basedOn w:val="Normal"/>
    <w:qFormat/>
    <w:pPr/>
    <w:rPr>
      <w:rFonts w:ascii="Tahoma" w:hAnsi="Tahoma" w:cs="Tahoma"/>
    </w:rPr>
  </w:style>
  <w:style w:type="paragraph" w:styleId="Style44" w:customStyle="1">
    <w:name w:val="Пункт договора"/>
    <w:basedOn w:val="Normal"/>
    <w:qFormat/>
    <w:pPr>
      <w:jc w:val="both"/>
    </w:pPr>
    <w:rPr>
      <w:rFonts w:ascii="Arial" w:hAnsi="Arial" w:cs="Arial"/>
    </w:rPr>
  </w:style>
  <w:style w:type="paragraph" w:styleId="111" w:customStyle="1">
    <w:name w:val="Знак Знак Знак Знак Знак Знак Знак Знак Знак1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lang w:val="en-US" w:eastAsia="en-US"/>
    </w:rPr>
  </w:style>
  <w:style w:type="paragraph" w:styleId="ConsPlusNonformat" w:customStyle="1">
    <w:name w:val="ConsPlusNonforma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ourier New" w:hAnsi="Courier New" w:eastAsia="WenQuanYi Zen Hei Sharp" w:cs="Courier New"/>
      <w:color w:val="auto"/>
      <w:kern w:val="0"/>
      <w:sz w:val="24"/>
      <w:szCs w:val="24"/>
      <w:lang w:val="ru-RU" w:eastAsia="zh-CN" w:bidi="hi-IN"/>
    </w:rPr>
  </w:style>
  <w:style w:type="paragraph" w:styleId="211" w:customStyle="1">
    <w:name w:val="Основной текст 21"/>
    <w:basedOn w:val="Normal"/>
    <w:qFormat/>
    <w:pPr/>
    <w:rPr>
      <w:sz w:val="22"/>
    </w:rPr>
  </w:style>
  <w:style w:type="paragraph" w:styleId="112" w:customStyle="1">
    <w:name w:val="Обычный1"/>
    <w:qFormat/>
    <w:pPr>
      <w:widowControl w:val="false"/>
      <w:suppressAutoHyphens w:val="true"/>
      <w:overflowPunct w:val="true"/>
      <w:bidi w:val="0"/>
      <w:spacing w:lineRule="auto" w:line="420" w:before="460" w:after="0"/>
      <w:ind w:firstLine="720"/>
      <w:jc w:val="left"/>
    </w:pPr>
    <w:rPr>
      <w:rFonts w:ascii="Arial" w:hAnsi="Arial" w:eastAsia="Arial" w:cs="Arial"/>
      <w:color w:val="auto"/>
      <w:kern w:val="0"/>
      <w:sz w:val="28"/>
      <w:szCs w:val="20"/>
      <w:lang w:val="ru-RU" w:eastAsia="zh-CN" w:bidi="ar-SA"/>
    </w:rPr>
  </w:style>
  <w:style w:type="paragraph" w:styleId="HEADERTEXT" w:customStyle="1">
    <w:name w:val=".HEADERTEX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2B4279"/>
      <w:kern w:val="0"/>
      <w:sz w:val="24"/>
      <w:szCs w:val="24"/>
      <w:lang w:val="ru-RU" w:eastAsia="zh-CN" w:bidi="ar-SA"/>
    </w:rPr>
  </w:style>
  <w:style w:type="paragraph" w:styleId="ListNumber">
    <w:name w:val="List Number"/>
    <w:basedOn w:val="Normal"/>
    <w:qFormat/>
    <w:pPr>
      <w:spacing w:lineRule="auto" w:line="360" w:before="60" w:after="0"/>
      <w:jc w:val="both"/>
    </w:pPr>
    <w:rPr>
      <w:sz w:val="28"/>
      <w:szCs w:val="24"/>
    </w:rPr>
  </w:style>
  <w:style w:type="paragraph" w:styleId="Style45" w:customStyle="1">
    <w:name w:val="Обычный+ без отступа"/>
    <w:basedOn w:val="Normal"/>
    <w:qFormat/>
    <w:pPr>
      <w:numPr>
        <w:ilvl w:val="0"/>
        <w:numId w:val="6"/>
      </w:numPr>
      <w:spacing w:lineRule="auto" w:line="360" w:before="120" w:after="0"/>
      <w:ind w:left="0" w:hanging="0"/>
      <w:jc w:val="both"/>
    </w:pPr>
    <w:rPr>
      <w:rFonts w:eastAsia="MS Mincho;ＭＳ 明朝"/>
      <w:sz w:val="28"/>
      <w:szCs w:val="28"/>
    </w:rPr>
  </w:style>
  <w:style w:type="paragraph" w:styleId="38" w:customStyle="1">
    <w:name w:val="заголовок 3"/>
    <w:basedOn w:val="Normal"/>
    <w:next w:val="Normal"/>
    <w:qFormat/>
    <w:pPr>
      <w:keepNext w:val="true"/>
      <w:spacing w:lineRule="auto" w:line="360" w:before="120" w:after="0"/>
      <w:ind w:firstLine="720"/>
      <w:jc w:val="center"/>
    </w:pPr>
    <w:rPr>
      <w:szCs w:val="24"/>
    </w:rPr>
  </w:style>
  <w:style w:type="paragraph" w:styleId="113" w:customStyle="1">
    <w:name w:val="Пункт_1"/>
    <w:basedOn w:val="Normal"/>
    <w:qFormat/>
    <w:pPr>
      <w:keepNext w:val="true"/>
      <w:tabs>
        <w:tab w:val="clear" w:pos="708"/>
        <w:tab w:val="left" w:pos="568" w:leader="none"/>
      </w:tabs>
      <w:spacing w:before="480" w:after="240"/>
      <w:ind w:left="567" w:hanging="567"/>
      <w:jc w:val="center"/>
    </w:pPr>
    <w:rPr>
      <w:rFonts w:ascii="Arial" w:hAnsi="Arial" w:cs="Arial"/>
      <w:b/>
      <w:sz w:val="32"/>
      <w:szCs w:val="28"/>
    </w:rPr>
  </w:style>
  <w:style w:type="paragraph" w:styleId="5ABCD" w:customStyle="1">
    <w:name w:val="Пункт_5_ABCD"/>
    <w:basedOn w:val="Normal"/>
    <w:qFormat/>
    <w:pPr>
      <w:tabs>
        <w:tab w:val="clear" w:pos="708"/>
        <w:tab w:val="left" w:pos="1701" w:leader="none"/>
      </w:tabs>
      <w:spacing w:lineRule="auto" w:line="360"/>
      <w:ind w:left="1701" w:hanging="567"/>
      <w:jc w:val="both"/>
    </w:pPr>
    <w:rPr>
      <w:sz w:val="28"/>
    </w:rPr>
  </w:style>
  <w:style w:type="paragraph" w:styleId="41" w:customStyle="1">
    <w:name w:val="Пункт_4"/>
    <w:basedOn w:val="39"/>
    <w:qFormat/>
    <w:pPr>
      <w:tabs>
        <w:tab w:val="clear" w:pos="1694"/>
        <w:tab w:val="left" w:pos="1134" w:leader="none"/>
      </w:tabs>
      <w:ind w:left="1134" w:hanging="1134"/>
    </w:pPr>
    <w:rPr/>
  </w:style>
  <w:style w:type="paragraph" w:styleId="39" w:customStyle="1">
    <w:name w:val="Пункт_3"/>
    <w:basedOn w:val="210"/>
    <w:qFormat/>
    <w:pPr>
      <w:tabs>
        <w:tab w:val="clear" w:pos="1134"/>
        <w:tab w:val="left" w:pos="1694" w:leader="none"/>
      </w:tabs>
      <w:ind w:left="1694" w:hanging="0"/>
    </w:pPr>
    <w:rPr/>
  </w:style>
  <w:style w:type="paragraph" w:styleId="210" w:customStyle="1">
    <w:name w:val="Пункт_2"/>
    <w:basedOn w:val="Normal"/>
    <w:qFormat/>
    <w:pPr>
      <w:tabs>
        <w:tab w:val="clear" w:pos="708"/>
        <w:tab w:val="left" w:pos="1134" w:leader="none"/>
      </w:tabs>
      <w:spacing w:lineRule="auto" w:line="360"/>
      <w:ind w:left="1134" w:hanging="1133"/>
      <w:jc w:val="both"/>
    </w:pPr>
    <w:rPr>
      <w:sz w:val="28"/>
    </w:rPr>
  </w:style>
  <w:style w:type="paragraph" w:styleId="PlainText">
    <w:name w:val="Plain Text"/>
    <w:basedOn w:val="Normal"/>
    <w:qFormat/>
    <w:pPr>
      <w:ind w:firstLine="709"/>
      <w:jc w:val="both"/>
    </w:pPr>
    <w:rPr>
      <w:rFonts w:cs="Courier New"/>
    </w:rPr>
  </w:style>
  <w:style w:type="paragraph" w:styleId="Normal1" w:customStyle="1">
    <w:name w:val="Normal1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My1" w:customStyle="1">
    <w:name w:val="my"/>
    <w:basedOn w:val="Heading1"/>
    <w:qFormat/>
    <w:pPr>
      <w:keepLines/>
      <w:tabs>
        <w:tab w:val="clear" w:pos="0"/>
        <w:tab w:val="left" w:pos="849" w:leader="none"/>
        <w:tab w:val="left" w:pos="1300" w:leader="none"/>
      </w:tabs>
      <w:spacing w:before="360" w:after="120"/>
      <w:ind w:left="0" w:hanging="0"/>
      <w:jc w:val="center"/>
      <w:outlineLvl w:val="9"/>
    </w:pPr>
    <w:rPr>
      <w:kern w:val="2"/>
    </w:rPr>
  </w:style>
  <w:style w:type="paragraph" w:styleId="114" w:customStyle="1">
    <w:name w:val="Пункт1"/>
    <w:basedOn w:val="Normal"/>
    <w:qFormat/>
    <w:pPr>
      <w:numPr>
        <w:ilvl w:val="0"/>
        <w:numId w:val="7"/>
      </w:numPr>
      <w:snapToGrid w:val="false"/>
      <w:spacing w:lineRule="auto" w:line="360" w:before="240" w:after="0"/>
      <w:jc w:val="center"/>
    </w:pPr>
    <w:rPr>
      <w:rFonts w:ascii="Arial" w:hAnsi="Arial" w:cs="Arial"/>
      <w:b/>
      <w:sz w:val="28"/>
      <w:szCs w:val="28"/>
    </w:rPr>
  </w:style>
  <w:style w:type="paragraph" w:styleId="Style46" w:customStyle="1">
    <w:name w:val="Подподподпункт"/>
    <w:basedOn w:val="Normal"/>
    <w:qFormat/>
    <w:pPr>
      <w:tabs>
        <w:tab w:val="clear" w:pos="708"/>
        <w:tab w:val="left" w:pos="567" w:leader="none"/>
        <w:tab w:val="left" w:pos="1134" w:leader="none"/>
        <w:tab w:val="left" w:pos="1701" w:leader="none"/>
      </w:tabs>
      <w:snapToGrid w:val="false"/>
      <w:spacing w:lineRule="auto" w:line="360"/>
      <w:ind w:left="567" w:hanging="279"/>
      <w:jc w:val="both"/>
    </w:pPr>
    <w:rPr>
      <w:sz w:val="28"/>
    </w:rPr>
  </w:style>
  <w:style w:type="paragraph" w:styleId="Style47" w:customStyle="1">
    <w:name w:val="Пункт Знак"/>
    <w:basedOn w:val="Normal"/>
    <w:qFormat/>
    <w:pPr>
      <w:tabs>
        <w:tab w:val="clear" w:pos="708"/>
        <w:tab w:val="left" w:pos="567" w:leader="none"/>
        <w:tab w:val="left" w:pos="851" w:leader="none"/>
        <w:tab w:val="left" w:pos="1134" w:leader="none"/>
      </w:tabs>
      <w:snapToGrid w:val="false"/>
      <w:spacing w:lineRule="auto" w:line="360"/>
      <w:ind w:left="567" w:hanging="279"/>
      <w:jc w:val="both"/>
    </w:pPr>
    <w:rPr>
      <w:sz w:val="28"/>
    </w:rPr>
  </w:style>
  <w:style w:type="paragraph" w:styleId="Caption1111111111" w:customStyle="1">
    <w:name w:val="Caption1111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111" w:customStyle="1">
    <w:name w:val="Caption111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11" w:customStyle="1">
    <w:name w:val="Caption11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2" w:customStyle="1">
    <w:name w:val="Caption11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2" w:customStyle="1">
    <w:name w:val="Caption1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3" w:customStyle="1">
    <w:name w:val="Caption3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andard" w:customStyle="1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Abc" w:customStyle="1">
    <w:name w:val="Нумерованный abc"/>
    <w:qFormat/>
  </w:style>
  <w:style w:type="numbering" w:styleId="115" w:customStyle="1">
    <w:name w:val="Стиль1"/>
    <w:qFormat/>
  </w:style>
  <w:style w:type="numbering" w:styleId="212" w:customStyle="1">
    <w:name w:val="Стиль2"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Application>AlterOffice/3.3.0.4$Linux_X86_64 LibreOffice_project/fa736b558560ebea8f92088bfd7720f4b3918f3f</Application>
  <AppVersion>15.0000</AppVersion>
  <Pages>25</Pages>
  <Words>4956</Words>
  <Characters>33719</Characters>
  <CharactersWithSpaces>37700</CharactersWithSpaces>
  <Paragraphs>985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2025-07-14T05:31:00Z</dcterms:created>
  <dc:creator>Быстров Олег Геннадьевич</dc:creator>
  <dc:description/>
  <dc:language>ru-RU</dc:language>
  <cp:lastModifiedBy>khan-en_rv</cp:lastModifiedBy>
  <cp:lastPrinted>2025-10-10T11:49:32Z</cp:lastPrinted>
  <dcterms:modified xsi:type="dcterms:W3CDTF">2026-07-31T15:33:03Z</dcterms:modified>
  <cp:revision>103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1134298184</vt:r8>
  </property>
  <property fmtid="{D5CDD505-2E9C-101B-9397-08002B2CF9AE}" pid="3" name="_AuthorEmail">
    <vt:lpwstr>Sokolov-VV@amur.drsk.ru</vt:lpwstr>
  </property>
  <property fmtid="{D5CDD505-2E9C-101B-9397-08002B2CF9AE}" pid="4" name="_AuthorEmailDisplayName">
    <vt:lpwstr>Соколов В.В.</vt:lpwstr>
  </property>
  <property fmtid="{D5CDD505-2E9C-101B-9397-08002B2CF9AE}" pid="5" name="_EmailSubject">
    <vt:lpwstr>Отправка: 2023.09.20 ТТ и ОЛ на закупку 2КТПН 1600 и 1250 для Свободного (1), ТП 2х1250 2_13.2 Свободный (1), ТП 2х1600 2_14 Свободный (1)</vt:lpwstr>
  </property>
  <property fmtid="{D5CDD505-2E9C-101B-9397-08002B2CF9AE}" pid="6" name="_NewReviewCycle">
    <vt:lpwstr/>
  </property>
  <property fmtid="{D5CDD505-2E9C-101B-9397-08002B2CF9AE}" pid="7" name="_ReviewingToolsShownOnce">
    <vt:lpwstr/>
  </property>
</Properties>
</file>